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269240</wp:posOffset>
            </wp:positionV>
            <wp:extent cx="1045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90170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60" w:right="1700" w:hanging="3652"/>
        <w:spacing w:after="0" w:line="298" w:lineRule="auto"/>
        <w:tabs>
          <w:tab w:leader="none" w:pos="3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gridSpan w:val="3"/>
          </w:tcPr>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00" w:type="dxa"/>
            <w:vAlign w:val="bottom"/>
            <w:tcBorders>
              <w:bottom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 _______</w:t>
            </w:r>
          </w:p>
        </w:tc>
        <w:tc>
          <w:tcPr>
            <w:tcW w:w="0" w:type="dxa"/>
            <w:vAlign w:val="bottom"/>
          </w:tcPr>
          <w:p>
            <w:pPr>
              <w:spacing w:after="0"/>
              <w:rPr>
                <w:sz w:val="1"/>
                <w:szCs w:val="1"/>
                <w:color w:val="auto"/>
              </w:rPr>
            </w:pPr>
          </w:p>
        </w:tc>
      </w:tr>
      <w:tr>
        <w:trPr>
          <w:trHeight w:val="277"/>
        </w:trPr>
        <w:tc>
          <w:tcPr>
            <w:tcW w:w="4020" w:type="dxa"/>
            <w:vAlign w:val="bottom"/>
          </w:tcPr>
          <w:p>
            <w:pPr>
              <w:spacing w:after="0"/>
              <w:rPr>
                <w:sz w:val="24"/>
                <w:szCs w:val="24"/>
                <w:color w:val="auto"/>
              </w:rPr>
            </w:pPr>
          </w:p>
        </w:tc>
        <w:tc>
          <w:tcPr>
            <w:tcW w:w="6620" w:type="dxa"/>
            <w:vAlign w:val="bottom"/>
            <w:gridSpan w:val="6"/>
          </w:tcPr>
          <w:p>
            <w:pPr>
              <w:jc w:val="center"/>
              <w:ind w:right="3465"/>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001-40161</w:t>
            </w:r>
          </w:p>
        </w:tc>
        <w:tc>
          <w:tcPr>
            <w:tcW w:w="0" w:type="dxa"/>
            <w:vAlign w:val="bottom"/>
          </w:tcPr>
          <w:p>
            <w:pPr>
              <w:spacing w:after="0"/>
              <w:rPr>
                <w:sz w:val="1"/>
                <w:szCs w:val="1"/>
                <w:color w:val="auto"/>
              </w:rPr>
            </w:pPr>
          </w:p>
        </w:tc>
      </w:tr>
      <w:tr>
        <w:trPr>
          <w:trHeight w:val="95"/>
        </w:trPr>
        <w:tc>
          <w:tcPr>
            <w:tcW w:w="4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1"/>
        </w:trPr>
        <w:tc>
          <w:tcPr>
            <w:tcW w:w="4020" w:type="dxa"/>
            <w:vAlign w:val="bottom"/>
          </w:tcPr>
          <w:p>
            <w:pPr>
              <w:spacing w:after="0"/>
              <w:rPr>
                <w:sz w:val="24"/>
                <w:szCs w:val="24"/>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43"/>
                <w:szCs w:val="43"/>
                <w:b w:val="1"/>
                <w:bCs w:val="1"/>
                <w:color w:val="auto"/>
              </w:rPr>
              <w:t>DAVE INC.</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40" w:type="dxa"/>
            <w:vAlign w:val="bottom"/>
            <w:gridSpan w:val="7"/>
          </w:tcPr>
          <w:p>
            <w:pPr>
              <w:jc w:val="center"/>
              <w:ind w:left="4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94"/>
        </w:trPr>
        <w:tc>
          <w:tcPr>
            <w:tcW w:w="4020" w:type="dxa"/>
            <w:vAlign w:val="bottom"/>
            <w:vMerge w:val="restart"/>
          </w:tcPr>
          <w:p>
            <w:pPr>
              <w:jc w:val="center"/>
              <w:ind w:left="146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960" w:type="dxa"/>
            <w:vAlign w:val="bottom"/>
            <w:vMerge w:val="restart"/>
          </w:tcPr>
          <w:p>
            <w:pPr>
              <w:jc w:val="right"/>
              <w:ind w:right="1745"/>
              <w:spacing w:after="0"/>
              <w:rPr>
                <w:sz w:val="20"/>
                <w:szCs w:val="20"/>
                <w:color w:val="auto"/>
              </w:rPr>
            </w:pPr>
            <w:r>
              <w:rPr>
                <w:rFonts w:ascii="Times New Roman" w:cs="Times New Roman" w:eastAsia="Times New Roman" w:hAnsi="Times New Roman"/>
                <w:sz w:val="18"/>
                <w:szCs w:val="18"/>
                <w:b w:val="1"/>
                <w:bCs w:val="1"/>
                <w:color w:val="auto"/>
              </w:rPr>
              <w:t>86-1481509</w:t>
            </w:r>
          </w:p>
        </w:tc>
        <w:tc>
          <w:tcPr>
            <w:tcW w:w="0" w:type="dxa"/>
            <w:vAlign w:val="bottom"/>
          </w:tcPr>
          <w:p>
            <w:pPr>
              <w:spacing w:after="0"/>
              <w:rPr>
                <w:sz w:val="1"/>
                <w:szCs w:val="1"/>
                <w:color w:val="auto"/>
              </w:rPr>
            </w:pPr>
          </w:p>
        </w:tc>
      </w:tr>
      <w:tr>
        <w:trPr>
          <w:trHeight w:val="311"/>
        </w:trPr>
        <w:tc>
          <w:tcPr>
            <w:tcW w:w="40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20" w:type="dxa"/>
            <w:vAlign w:val="bottom"/>
          </w:tcPr>
          <w:p>
            <w:pPr>
              <w:jc w:val="center"/>
              <w:ind w:left="1443"/>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60" w:type="dxa"/>
            <w:vAlign w:val="bottom"/>
          </w:tcPr>
          <w:p>
            <w:pPr>
              <w:jc w:val="center"/>
              <w:ind w:right="465"/>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020" w:type="dxa"/>
            <w:vAlign w:val="bottom"/>
          </w:tcPr>
          <w:p>
            <w:pPr>
              <w:ind w:left="18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Pr>
          <w:p>
            <w:pPr>
              <w:ind w:left="1160"/>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23"/>
        </w:trPr>
        <w:tc>
          <w:tcPr>
            <w:tcW w:w="4020" w:type="dxa"/>
            <w:vAlign w:val="bottom"/>
          </w:tcPr>
          <w:p>
            <w:pPr>
              <w:jc w:val="center"/>
              <w:ind w:left="1423"/>
              <w:spacing w:after="0"/>
              <w:rPr>
                <w:sz w:val="20"/>
                <w:szCs w:val="20"/>
                <w:color w:val="auto"/>
              </w:rPr>
            </w:pPr>
            <w:r>
              <w:rPr>
                <w:rFonts w:ascii="Times New Roman" w:cs="Times New Roman" w:eastAsia="Times New Roman" w:hAnsi="Times New Roman"/>
                <w:sz w:val="18"/>
                <w:szCs w:val="18"/>
                <w:b w:val="1"/>
                <w:bCs w:val="1"/>
                <w:color w:val="auto"/>
              </w:rPr>
              <w:t>1265 South Cochran Ave</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tcPr>
          <w:p>
            <w:pPr>
              <w:jc w:val="center"/>
              <w:ind w:left="1463"/>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60" w:type="dxa"/>
            <w:vAlign w:val="bottom"/>
          </w:tcPr>
          <w:p>
            <w:pPr>
              <w:jc w:val="right"/>
              <w:ind w:right="1945"/>
              <w:spacing w:after="0"/>
              <w:rPr>
                <w:sz w:val="20"/>
                <w:szCs w:val="20"/>
                <w:color w:val="auto"/>
              </w:rPr>
            </w:pPr>
            <w:r>
              <w:rPr>
                <w:rFonts w:ascii="Times New Roman" w:cs="Times New Roman" w:eastAsia="Times New Roman" w:hAnsi="Times New Roman"/>
                <w:sz w:val="18"/>
                <w:szCs w:val="18"/>
                <w:b w:val="1"/>
                <w:bCs w:val="1"/>
                <w:color w:val="auto"/>
              </w:rPr>
              <w:t>90019</w:t>
            </w:r>
          </w:p>
        </w:tc>
        <w:tc>
          <w:tcPr>
            <w:tcW w:w="0" w:type="dxa"/>
            <w:vAlign w:val="bottom"/>
          </w:tcPr>
          <w:p>
            <w:pPr>
              <w:spacing w:after="0"/>
              <w:rPr>
                <w:sz w:val="1"/>
                <w:szCs w:val="1"/>
                <w:color w:val="auto"/>
              </w:rPr>
            </w:pPr>
          </w:p>
        </w:tc>
      </w:tr>
      <w:tr>
        <w:trPr>
          <w:trHeight w:val="133"/>
        </w:trPr>
        <w:tc>
          <w:tcPr>
            <w:tcW w:w="4020" w:type="dxa"/>
            <w:vAlign w:val="bottom"/>
          </w:tcPr>
          <w:p>
            <w:pPr>
              <w:jc w:val="center"/>
              <w:ind w:left="1463"/>
              <w:spacing w:after="0" w:line="133" w:lineRule="exact"/>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60" w:type="dxa"/>
            <w:vAlign w:val="bottom"/>
          </w:tcPr>
          <w:p>
            <w:pPr>
              <w:jc w:val="center"/>
              <w:ind w:right="465"/>
              <w:spacing w:after="0" w:line="133" w:lineRule="exact"/>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38"/>
        </w:trPr>
        <w:tc>
          <w:tcPr>
            <w:tcW w:w="10640" w:type="dxa"/>
            <w:vAlign w:val="bottom"/>
            <w:gridSpan w:val="7"/>
          </w:tcPr>
          <w:p>
            <w:pPr>
              <w:jc w:val="center"/>
              <w:ind w:left="40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857-3283</w:t>
            </w:r>
          </w:p>
        </w:tc>
        <w:tc>
          <w:tcPr>
            <w:tcW w:w="0" w:type="dxa"/>
            <w:vAlign w:val="bottom"/>
          </w:tcPr>
          <w:p>
            <w:pPr>
              <w:spacing w:after="0"/>
              <w:rPr>
                <w:sz w:val="1"/>
                <w:szCs w:val="1"/>
                <w:color w:val="auto"/>
              </w:rPr>
            </w:pPr>
          </w:p>
        </w:tc>
      </w:tr>
      <w:tr>
        <w:trPr>
          <w:trHeight w:val="245"/>
        </w:trPr>
        <w:tc>
          <w:tcPr>
            <w:tcW w:w="10640" w:type="dxa"/>
            <w:vAlign w:val="bottom"/>
            <w:gridSpan w:val="7"/>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90"/>
        </w:trPr>
        <w:tc>
          <w:tcPr>
            <w:tcW w:w="40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Pr>
          <w:p>
            <w:pPr>
              <w:spacing w:after="0"/>
              <w:rPr>
                <w:sz w:val="16"/>
                <w:szCs w:val="16"/>
                <w:color w:val="auto"/>
              </w:rPr>
            </w:pPr>
          </w:p>
        </w:tc>
        <w:tc>
          <w:tcPr>
            <w:tcW w:w="1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ind w:left="106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5"/>
        </w:trPr>
        <w:tc>
          <w:tcPr>
            <w:tcW w:w="40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w:t>
            </w:r>
          </w:p>
        </w:tc>
        <w:tc>
          <w:tcPr>
            <w:tcW w:w="740" w:type="dxa"/>
            <w:vAlign w:val="bottom"/>
          </w:tcPr>
          <w:p>
            <w:pPr>
              <w:spacing w:after="0"/>
              <w:rPr>
                <w:sz w:val="22"/>
                <w:szCs w:val="22"/>
                <w:color w:val="auto"/>
              </w:rPr>
            </w:pPr>
          </w:p>
        </w:tc>
        <w:tc>
          <w:tcPr>
            <w:tcW w:w="1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DAVE</w:t>
            </w:r>
          </w:p>
        </w:tc>
        <w:tc>
          <w:tcPr>
            <w:tcW w:w="3960" w:type="dxa"/>
            <w:vAlign w:val="bottom"/>
          </w:tcPr>
          <w:p>
            <w:pPr>
              <w:jc w:val="center"/>
              <w:ind w:left="1085"/>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9"/>
        </w:trPr>
        <w:tc>
          <w:tcPr>
            <w:tcW w:w="40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Redeemable warrants, each lot of 32 warrants exercisable for</w:t>
            </w:r>
          </w:p>
        </w:tc>
        <w:tc>
          <w:tcPr>
            <w:tcW w:w="740" w:type="dxa"/>
            <w:vAlign w:val="bottom"/>
          </w:tcPr>
          <w:p>
            <w:pPr>
              <w:spacing w:after="0"/>
              <w:rPr>
                <w:sz w:val="12"/>
                <w:szCs w:val="12"/>
                <w:color w:val="auto"/>
              </w:rPr>
            </w:pPr>
          </w:p>
        </w:tc>
        <w:tc>
          <w:tcPr>
            <w:tcW w:w="19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DAVEW</w:t>
            </w:r>
          </w:p>
        </w:tc>
        <w:tc>
          <w:tcPr>
            <w:tcW w:w="3960" w:type="dxa"/>
            <w:vAlign w:val="bottom"/>
          </w:tcPr>
          <w:p>
            <w:pPr>
              <w:jc w:val="center"/>
              <w:ind w:left="1085"/>
              <w:spacing w:after="0" w:line="149"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40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one share of Class A common stock at an exercise price of $368</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 share of Class A common stock</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22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5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840" w:val="left"/>
          <w:tab w:leader="none" w:pos="75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95"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As of October 29, 2025, there were 12,453,088 and 12,190,000 shares of Class A common stock, $0.0001 par value, issued and outstanding, respectively. As of October 29, 2025, there were 1,314,082 shares of Class V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680" w:type="dxa"/>
            <w:vAlign w:val="bottom"/>
            <w:gridSpan w:val="14"/>
            <w:vMerge w:val="restart"/>
          </w:tcPr>
          <w:p>
            <w:pPr>
              <w:spacing w:after="0"/>
              <w:rPr>
                <w:sz w:val="20"/>
                <w:szCs w:val="20"/>
                <w:color w:val="auto"/>
              </w:rPr>
            </w:pPr>
          </w:p>
        </w:tc>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1040" w:type="dxa"/>
            <w:vAlign w:val="bottom"/>
            <w:gridSpan w:val="2"/>
            <w:vMerge w:val="continue"/>
          </w:tcPr>
          <w:p>
            <w:pPr>
              <w:spacing w:after="0"/>
              <w:rPr>
                <w:sz w:val="14"/>
                <w:szCs w:val="14"/>
                <w:color w:val="auto"/>
              </w:rPr>
            </w:pPr>
          </w:p>
        </w:tc>
        <w:tc>
          <w:tcPr>
            <w:tcW w:w="2400" w:type="dxa"/>
            <w:vAlign w:val="bottom"/>
            <w:tcBorders>
              <w:bottom w:val="single" w:sz="8" w:color="0000FF"/>
            </w:tcBorders>
            <w:gridSpan w:val="9"/>
            <w:vMerge w:val="continue"/>
          </w:tcPr>
          <w:p>
            <w:pPr>
              <w:spacing w:after="0"/>
              <w:rPr>
                <w:sz w:val="14"/>
                <w:szCs w:val="14"/>
                <w:color w:val="auto"/>
              </w:rPr>
            </w:pPr>
          </w:p>
        </w:tc>
        <w:tc>
          <w:tcPr>
            <w:tcW w:w="5680" w:type="dxa"/>
            <w:vAlign w:val="bottom"/>
            <w:gridSpan w:val="14"/>
            <w:vMerge w:val="continue"/>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3</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564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Continued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20" w:type="dxa"/>
            <w:vAlign w:val="bottom"/>
            <w:tcBorders>
              <w:top w:val="single" w:sz="8" w:color="0000FF"/>
              <w:bottom w:val="single" w:sz="8" w:color="0000EE"/>
            </w:tcBorders>
          </w:tcPr>
          <w:p>
            <w:pPr>
              <w:spacing w:after="0"/>
              <w:rPr>
                <w:sz w:val="17"/>
                <w:szCs w:val="17"/>
                <w:color w:val="auto"/>
              </w:rPr>
            </w:pPr>
          </w:p>
        </w:tc>
        <w:tc>
          <w:tcPr>
            <w:tcW w:w="80" w:type="dxa"/>
            <w:vAlign w:val="bottom"/>
            <w:tcBorders>
              <w:top w:val="single" w:sz="8" w:color="0000FF"/>
            </w:tcBorders>
            <w:gridSpan w:val="2"/>
          </w:tcPr>
          <w:p>
            <w:pPr>
              <w:spacing w:after="0"/>
              <w:rPr>
                <w:sz w:val="17"/>
                <w:szCs w:val="17"/>
                <w:color w:val="auto"/>
              </w:rPr>
            </w:pPr>
          </w:p>
        </w:tc>
        <w:tc>
          <w:tcPr>
            <w:tcW w:w="4320" w:type="dxa"/>
            <w:vAlign w:val="bottom"/>
            <w:gridSpan w:val="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350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Stockholders’ Equity</w:t>
            </w:r>
          </w:p>
        </w:tc>
        <w:tc>
          <w:tcPr>
            <w:tcW w:w="370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72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60" w:type="dxa"/>
            <w:vAlign w:val="bottom"/>
            <w:gridSpan w:val="1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6760" w:type="dxa"/>
            <w:vAlign w:val="bottom"/>
            <w:gridSpan w:val="1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10"/>
          </w:tcPr>
          <w:p>
            <w:pPr>
              <w:spacing w:after="0"/>
              <w:rPr>
                <w:sz w:val="17"/>
                <w:szCs w:val="17"/>
                <w:color w:val="auto"/>
              </w:rPr>
            </w:pPr>
          </w:p>
        </w:tc>
        <w:tc>
          <w:tcPr>
            <w:tcW w:w="3740" w:type="dxa"/>
            <w:vAlign w:val="bottom"/>
            <w:gridSpan w:val="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300" w:type="dxa"/>
            <w:vAlign w:val="bottom"/>
            <w:gridSpan w:val="1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780" w:type="dxa"/>
            <w:vAlign w:val="bottom"/>
            <w:gridSpan w:val="1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1"/>
        </w:trPr>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Form 10-Q other than statements of historical fact, including statements regarding our future results of operations, financial position, market size and opportunity, our business strategy and plans, the factors affecting our performance, our objectives for future operations, our liquidity, borrowing capacity, our use of cash and cash requirements and the expected effects of new accounting pronouncements,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2024 filed with the Securities and Exchange Commission (the “SEC”) on March 4, 2025 (the “Annual Report”), as further updated in Part II, Item 1A "Risk Factors" of our Quarterly Report on Form 10-Q for the quarter ended March 31, 2025 and our Quarterly Report on Form 10-Q for the quarter ended June 30, 2025, and in our other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spacing w:after="0" w:line="19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compete in its highly competitive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keep pace with the rapid technological developments in its industry and the larger financial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manage risks associated with providing ExtraCash;</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retain its current customers, acquire new customers (collectively, "Members") and sell additional functionality and services to its Members;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protect intellectual property and trade secrets;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the integrity of its confidential information and information systems or comply with applicable privacy and data security requirements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reliance by Dave on a single bank partner;</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or secure current and future key banking relationships and other third-party service providers, including its ability to comply with applicable requirements of such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comply with extensive and evolving laws and regulations applicable to its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service failures that could lead Members to use competitors’ services;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arbitration, litigation and/or other regulatory or legal proceedings, including the Department of Justice’s lawsuit against Dave;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Dave Class A Common Stock on The Nasdaq Stock Market;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Dave may be adversely affected by other macroeconomic factors, including regulatory uncertainty, fluctuating interest rates, inflation, tariffs, unemployment rates, consumer sentiment, market volatility and business, and/or competitive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right="40"/>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You should read this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8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the “Company,” “Dave,” “we,” “us,” “our” and similar terms refer to Dave Inc. (f/k/a VPC Impact Acquisition Holdings III, Inc.) and its consolidated subsidiaries, unless otherwise noted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1240790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 September</w:t>
            </w:r>
          </w:p>
        </w:tc>
        <w:tc>
          <w:tcPr>
            <w:tcW w:w="120" w:type="dxa"/>
            <w:vAlign w:val="bottom"/>
          </w:tcPr>
          <w:p>
            <w:pPr>
              <w:spacing w:after="0"/>
              <w:rPr>
                <w:sz w:val="17"/>
                <w:szCs w:val="17"/>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30, 2025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B7DEE8"/>
          </w:tcPr>
          <w:p>
            <w:pPr>
              <w:spacing w:after="0"/>
              <w:rPr>
                <w:sz w:val="17"/>
                <w:szCs w:val="17"/>
                <w:color w:val="auto"/>
              </w:rPr>
            </w:pPr>
          </w:p>
        </w:tc>
        <w:tc>
          <w:tcPr>
            <w:tcW w:w="1100" w:type="dxa"/>
            <w:vAlign w:val="bottom"/>
            <w:tcBorders>
              <w:top w:val="single" w:sz="8" w:color="auto"/>
            </w:tcBorders>
            <w:shd w:val="clear" w:color="auto" w:fill="B7DEE8"/>
          </w:tcPr>
          <w:p>
            <w:pPr>
              <w:spacing w:after="0"/>
              <w:rPr>
                <w:sz w:val="17"/>
                <w:szCs w:val="17"/>
                <w:color w:val="auto"/>
              </w:rPr>
            </w:pP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B7DEE8"/>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49,889</w:t>
            </w:r>
          </w:p>
        </w:tc>
        <w:tc>
          <w:tcPr>
            <w:tcW w:w="180" w:type="dxa"/>
            <w:vAlign w:val="bottom"/>
            <w:shd w:val="clear" w:color="auto" w:fill="B7DEE8"/>
          </w:tcPr>
          <w:p>
            <w:pPr>
              <w:spacing w:after="0"/>
              <w:rPr>
                <w:sz w:val="17"/>
                <w:szCs w:val="17"/>
                <w:color w:val="auto"/>
              </w:rPr>
            </w:pPr>
          </w:p>
        </w:tc>
        <w:tc>
          <w:tcPr>
            <w:tcW w:w="320" w:type="dxa"/>
            <w:vAlign w:val="bottom"/>
            <w:gridSpan w:val="2"/>
            <w:shd w:val="clear" w:color="auto" w:fill="B7DEE8"/>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49,718</w:t>
            </w: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ExtraCash receivables, net of allowance for credit losses of $40,217 and $22,703 as of September 30, 2025 and</w:t>
            </w:r>
          </w:p>
        </w:tc>
        <w:tc>
          <w:tcPr>
            <w:tcW w:w="180" w:type="dxa"/>
            <w:vAlign w:val="bottom"/>
            <w:shd w:val="clear" w:color="auto" w:fill="B7DEE8"/>
          </w:tcPr>
          <w:p>
            <w:pPr>
              <w:spacing w:after="0"/>
              <w:rPr>
                <w:sz w:val="16"/>
                <w:szCs w:val="16"/>
                <w:color w:val="auto"/>
              </w:rPr>
            </w:pPr>
          </w:p>
        </w:tc>
        <w:tc>
          <w:tcPr>
            <w:tcW w:w="1100" w:type="dxa"/>
            <w:vAlign w:val="bottom"/>
            <w:shd w:val="clear" w:color="auto" w:fill="B7DEE8"/>
          </w:tcPr>
          <w:p>
            <w:pPr>
              <w:spacing w:after="0"/>
              <w:rPr>
                <w:sz w:val="16"/>
                <w:szCs w:val="16"/>
                <w:color w:val="auto"/>
              </w:rPr>
            </w:pPr>
          </w:p>
        </w:tc>
        <w:tc>
          <w:tcPr>
            <w:tcW w:w="18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200" w:type="dxa"/>
            <w:vAlign w:val="bottom"/>
            <w:shd w:val="clear" w:color="auto" w:fill="B7DEE8"/>
          </w:tcPr>
          <w:p>
            <w:pPr>
              <w:spacing w:after="0"/>
              <w:rPr>
                <w:sz w:val="16"/>
                <w:szCs w:val="16"/>
                <w:color w:val="auto"/>
              </w:rPr>
            </w:pPr>
          </w:p>
        </w:tc>
        <w:tc>
          <w:tcPr>
            <w:tcW w:w="82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80" w:type="dxa"/>
            <w:vAlign w:val="bottom"/>
            <w:shd w:val="clear" w:color="auto" w:fill="B7DEE8"/>
          </w:tcPr>
          <w:p>
            <w:pPr>
              <w:spacing w:after="0"/>
              <w:rPr>
                <w:sz w:val="18"/>
                <w:szCs w:val="18"/>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268,294</w:t>
            </w:r>
          </w:p>
        </w:tc>
        <w:tc>
          <w:tcPr>
            <w:tcW w:w="18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20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175,857</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bottom w:val="single" w:sz="8" w:color="B7DEE8"/>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B7DEE8"/>
          </w:tcPr>
          <w:p>
            <w:pPr>
              <w:spacing w:after="0"/>
              <w:rPr>
                <w:sz w:val="17"/>
                <w:szCs w:val="17"/>
                <w:color w:val="auto"/>
              </w:rPr>
            </w:pPr>
          </w:p>
        </w:tc>
        <w:tc>
          <w:tcPr>
            <w:tcW w:w="11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25,945</w:t>
            </w:r>
          </w:p>
        </w:tc>
        <w:tc>
          <w:tcPr>
            <w:tcW w:w="18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B7DEE8"/>
            </w:tcBorders>
            <w:shd w:val="clear" w:color="auto" w:fill="B7DEE8"/>
          </w:tcPr>
          <w:p>
            <w:pPr>
              <w:spacing w:after="0"/>
              <w:rPr>
                <w:sz w:val="17"/>
                <w:szCs w:val="17"/>
                <w:color w:val="auto"/>
              </w:rPr>
            </w:pPr>
          </w:p>
        </w:tc>
        <w:tc>
          <w:tcPr>
            <w:tcW w:w="200" w:type="dxa"/>
            <w:vAlign w:val="bottom"/>
            <w:tcBorders>
              <w:bottom w:val="single" w:sz="8" w:color="auto"/>
            </w:tcBorders>
            <w:shd w:val="clear" w:color="auto" w:fill="B7DEE8"/>
          </w:tcPr>
          <w:p>
            <w:pPr>
              <w:spacing w:after="0"/>
              <w:rPr>
                <w:sz w:val="17"/>
                <w:szCs w:val="17"/>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16,127</w:t>
            </w:r>
          </w:p>
        </w:tc>
        <w:tc>
          <w:tcPr>
            <w:tcW w:w="100" w:type="dxa"/>
            <w:vAlign w:val="bottom"/>
            <w:tcBorders>
              <w:bottom w:val="single" w:sz="8" w:color="B7DEE8"/>
            </w:tcBorders>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385,974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282,272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B7DEE8"/>
          </w:tcPr>
          <w:p>
            <w:pPr>
              <w:spacing w:after="0"/>
              <w:rPr>
                <w:sz w:val="17"/>
                <w:szCs w:val="17"/>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right-of-use assets (related-party of $277 and $507 as of September 30, 2025 and December 31, 2024,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B7DEE8"/>
          </w:tcPr>
          <w:p>
            <w:pPr>
              <w:spacing w:after="0"/>
              <w:rPr>
                <w:sz w:val="17"/>
                <w:szCs w:val="17"/>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13,935</w:t>
            </w: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13,642</w:t>
            </w: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Debt facility commitment fee, long-term</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B7DEE8"/>
          </w:tcPr>
          <w:p>
            <w:pPr>
              <w:spacing w:after="0"/>
              <w:rPr>
                <w:sz w:val="17"/>
                <w:szCs w:val="17"/>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bottom w:val="single" w:sz="8" w:color="B7DEE8"/>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shd w:val="clear" w:color="auto" w:fill="B7DEE8"/>
          </w:tcPr>
          <w:p>
            <w:pPr>
              <w:spacing w:after="0"/>
              <w:rPr>
                <w:sz w:val="17"/>
                <w:szCs w:val="17"/>
                <w:color w:val="auto"/>
              </w:rPr>
            </w:pPr>
          </w:p>
        </w:tc>
        <w:tc>
          <w:tcPr>
            <w:tcW w:w="11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8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B7DEE8"/>
            </w:tcBorders>
            <w:shd w:val="clear" w:color="auto" w:fill="B7DEE8"/>
          </w:tcPr>
          <w:p>
            <w:pPr>
              <w:spacing w:after="0"/>
              <w:rPr>
                <w:sz w:val="17"/>
                <w:szCs w:val="17"/>
                <w:color w:val="auto"/>
              </w:rPr>
            </w:pPr>
          </w:p>
        </w:tc>
        <w:tc>
          <w:tcPr>
            <w:tcW w:w="200" w:type="dxa"/>
            <w:vAlign w:val="bottom"/>
            <w:tcBorders>
              <w:bottom w:val="single" w:sz="8" w:color="auto"/>
            </w:tcBorders>
            <w:shd w:val="clear" w:color="auto" w:fill="B7DEE8"/>
          </w:tcPr>
          <w:p>
            <w:pPr>
              <w:spacing w:after="0"/>
              <w:rPr>
                <w:sz w:val="17"/>
                <w:szCs w:val="17"/>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bottom w:val="single" w:sz="8" w:color="B7DEE8"/>
            </w:tcBorders>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433,251</w:t>
            </w:r>
          </w:p>
        </w:tc>
        <w:tc>
          <w:tcPr>
            <w:tcW w:w="180" w:type="dxa"/>
            <w:vAlign w:val="bottom"/>
          </w:tcPr>
          <w:p>
            <w:pPr>
              <w:spacing w:after="0"/>
              <w:rPr>
                <w:sz w:val="17"/>
                <w:szCs w:val="17"/>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299,327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7400" w:type="dxa"/>
            <w:vAlign w:val="bottom"/>
            <w:tcBorders>
              <w:right w:val="single" w:sz="8" w:color="B7DEE8"/>
            </w:tcBorders>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B7DEE8"/>
          </w:tcPr>
          <w:p>
            <w:pPr>
              <w:spacing w:after="0"/>
              <w:rPr>
                <w:sz w:val="15"/>
                <w:szCs w:val="15"/>
                <w:color w:val="auto"/>
              </w:rPr>
            </w:pPr>
          </w:p>
        </w:tc>
        <w:tc>
          <w:tcPr>
            <w:tcW w:w="1100" w:type="dxa"/>
            <w:vAlign w:val="bottom"/>
            <w:shd w:val="clear" w:color="auto" w:fill="B7DEE8"/>
          </w:tcPr>
          <w:p>
            <w:pPr>
              <w:spacing w:after="0"/>
              <w:rPr>
                <w:sz w:val="15"/>
                <w:szCs w:val="15"/>
                <w:color w:val="auto"/>
              </w:rPr>
            </w:pPr>
          </w:p>
        </w:tc>
        <w:tc>
          <w:tcPr>
            <w:tcW w:w="180" w:type="dxa"/>
            <w:vAlign w:val="bottom"/>
            <w:shd w:val="clear" w:color="auto" w:fill="B7DEE8"/>
          </w:tcPr>
          <w:p>
            <w:pPr>
              <w:spacing w:after="0"/>
              <w:rPr>
                <w:sz w:val="15"/>
                <w:szCs w:val="15"/>
                <w:color w:val="auto"/>
              </w:rPr>
            </w:pPr>
          </w:p>
        </w:tc>
        <w:tc>
          <w:tcPr>
            <w:tcW w:w="120" w:type="dxa"/>
            <w:vAlign w:val="bottom"/>
            <w:shd w:val="clear" w:color="auto" w:fill="B7DEE8"/>
          </w:tcPr>
          <w:p>
            <w:pPr>
              <w:spacing w:after="0"/>
              <w:rPr>
                <w:sz w:val="15"/>
                <w:szCs w:val="15"/>
                <w:color w:val="auto"/>
              </w:rPr>
            </w:pPr>
          </w:p>
        </w:tc>
        <w:tc>
          <w:tcPr>
            <w:tcW w:w="200" w:type="dxa"/>
            <w:vAlign w:val="bottom"/>
            <w:shd w:val="clear" w:color="auto" w:fill="B7DEE8"/>
          </w:tcPr>
          <w:p>
            <w:pPr>
              <w:spacing w:after="0"/>
              <w:rPr>
                <w:sz w:val="15"/>
                <w:szCs w:val="15"/>
                <w:color w:val="auto"/>
              </w:rPr>
            </w:pPr>
          </w:p>
        </w:tc>
        <w:tc>
          <w:tcPr>
            <w:tcW w:w="820" w:type="dxa"/>
            <w:vAlign w:val="bottom"/>
            <w:shd w:val="clear" w:color="auto" w:fill="B7DEE8"/>
          </w:tcPr>
          <w:p>
            <w:pPr>
              <w:spacing w:after="0"/>
              <w:rPr>
                <w:sz w:val="15"/>
                <w:szCs w:val="15"/>
                <w:color w:val="auto"/>
              </w:rPr>
            </w:pPr>
          </w:p>
        </w:tc>
        <w:tc>
          <w:tcPr>
            <w:tcW w:w="100" w:type="dxa"/>
            <w:vAlign w:val="bottom"/>
            <w:shd w:val="clear" w:color="auto" w:fill="B7DEE8"/>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B7DEE8"/>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7,840</w:t>
            </w:r>
          </w:p>
        </w:tc>
        <w:tc>
          <w:tcPr>
            <w:tcW w:w="180" w:type="dxa"/>
            <w:vAlign w:val="bottom"/>
            <w:shd w:val="clear" w:color="auto" w:fill="B7DEE8"/>
          </w:tcPr>
          <w:p>
            <w:pPr>
              <w:spacing w:after="0"/>
              <w:rPr>
                <w:sz w:val="17"/>
                <w:szCs w:val="17"/>
                <w:color w:val="auto"/>
              </w:rPr>
            </w:pPr>
          </w:p>
        </w:tc>
        <w:tc>
          <w:tcPr>
            <w:tcW w:w="320" w:type="dxa"/>
            <w:vAlign w:val="bottom"/>
            <w:gridSpan w:val="2"/>
            <w:shd w:val="clear" w:color="auto" w:fill="B7DEE8"/>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Lease liabilities, short-term (related-party of $137 and $350 as of September 30, 2025 and December 31, 2024,</w:t>
            </w:r>
          </w:p>
        </w:tc>
        <w:tc>
          <w:tcPr>
            <w:tcW w:w="180" w:type="dxa"/>
            <w:vAlign w:val="bottom"/>
            <w:shd w:val="clear" w:color="auto" w:fill="B7DEE8"/>
          </w:tcPr>
          <w:p>
            <w:pPr>
              <w:spacing w:after="0"/>
              <w:rPr>
                <w:sz w:val="16"/>
                <w:szCs w:val="16"/>
                <w:color w:val="auto"/>
              </w:rPr>
            </w:pPr>
          </w:p>
        </w:tc>
        <w:tc>
          <w:tcPr>
            <w:tcW w:w="1100" w:type="dxa"/>
            <w:vAlign w:val="bottom"/>
            <w:shd w:val="clear" w:color="auto" w:fill="B7DEE8"/>
          </w:tcPr>
          <w:p>
            <w:pPr>
              <w:spacing w:after="0"/>
              <w:rPr>
                <w:sz w:val="16"/>
                <w:szCs w:val="16"/>
                <w:color w:val="auto"/>
              </w:rPr>
            </w:pPr>
          </w:p>
        </w:tc>
        <w:tc>
          <w:tcPr>
            <w:tcW w:w="18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200" w:type="dxa"/>
            <w:vAlign w:val="bottom"/>
            <w:shd w:val="clear" w:color="auto" w:fill="B7DEE8"/>
          </w:tcPr>
          <w:p>
            <w:pPr>
              <w:spacing w:after="0"/>
              <w:rPr>
                <w:sz w:val="16"/>
                <w:szCs w:val="16"/>
                <w:color w:val="auto"/>
              </w:rPr>
            </w:pPr>
          </w:p>
        </w:tc>
        <w:tc>
          <w:tcPr>
            <w:tcW w:w="82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B7DEE8"/>
          </w:tcPr>
          <w:p>
            <w:pPr>
              <w:spacing w:after="0"/>
              <w:rPr>
                <w:sz w:val="18"/>
                <w:szCs w:val="18"/>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20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Legal settlement accrual</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bottom w:val="single" w:sz="8" w:color="B7DEE8"/>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B7DEE8"/>
          </w:tcPr>
          <w:p>
            <w:pPr>
              <w:spacing w:after="0"/>
              <w:rPr>
                <w:sz w:val="17"/>
                <w:szCs w:val="17"/>
                <w:color w:val="auto"/>
              </w:rPr>
            </w:pPr>
          </w:p>
        </w:tc>
        <w:tc>
          <w:tcPr>
            <w:tcW w:w="11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18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B7DEE8"/>
            </w:tcBorders>
            <w:shd w:val="clear" w:color="auto" w:fill="B7DEE8"/>
          </w:tcPr>
          <w:p>
            <w:pPr>
              <w:spacing w:after="0"/>
              <w:rPr>
                <w:sz w:val="17"/>
                <w:szCs w:val="17"/>
                <w:color w:val="auto"/>
              </w:rPr>
            </w:pPr>
          </w:p>
        </w:tc>
        <w:tc>
          <w:tcPr>
            <w:tcW w:w="200" w:type="dxa"/>
            <w:vAlign w:val="bottom"/>
            <w:tcBorders>
              <w:bottom w:val="single" w:sz="8" w:color="auto"/>
            </w:tcBorders>
            <w:shd w:val="clear" w:color="auto" w:fill="B7DEE8"/>
          </w:tcPr>
          <w:p>
            <w:pPr>
              <w:spacing w:after="0"/>
              <w:rPr>
                <w:sz w:val="17"/>
                <w:szCs w:val="17"/>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00" w:type="dxa"/>
            <w:vAlign w:val="bottom"/>
            <w:tcBorders>
              <w:bottom w:val="single" w:sz="8" w:color="B7DEE8"/>
            </w:tcBorders>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35,061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Lease liabilities, long-term (related-party of $158 and $204 as of September 30, 2025 and December 31, 2024,</w:t>
            </w:r>
          </w:p>
        </w:tc>
        <w:tc>
          <w:tcPr>
            <w:tcW w:w="180" w:type="dxa"/>
            <w:vAlign w:val="bottom"/>
            <w:shd w:val="clear" w:color="auto" w:fill="B7DEE8"/>
          </w:tcPr>
          <w:p>
            <w:pPr>
              <w:spacing w:after="0"/>
              <w:rPr>
                <w:sz w:val="16"/>
                <w:szCs w:val="16"/>
                <w:color w:val="auto"/>
              </w:rPr>
            </w:pPr>
          </w:p>
        </w:tc>
        <w:tc>
          <w:tcPr>
            <w:tcW w:w="1100" w:type="dxa"/>
            <w:vAlign w:val="bottom"/>
            <w:shd w:val="clear" w:color="auto" w:fill="B7DEE8"/>
          </w:tcPr>
          <w:p>
            <w:pPr>
              <w:spacing w:after="0"/>
              <w:rPr>
                <w:sz w:val="16"/>
                <w:szCs w:val="16"/>
                <w:color w:val="auto"/>
              </w:rPr>
            </w:pPr>
          </w:p>
        </w:tc>
        <w:tc>
          <w:tcPr>
            <w:tcW w:w="18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200" w:type="dxa"/>
            <w:vAlign w:val="bottom"/>
            <w:shd w:val="clear" w:color="auto" w:fill="B7DEE8"/>
          </w:tcPr>
          <w:p>
            <w:pPr>
              <w:spacing w:after="0"/>
              <w:rPr>
                <w:sz w:val="16"/>
                <w:szCs w:val="16"/>
                <w:color w:val="auto"/>
              </w:rPr>
            </w:pPr>
          </w:p>
        </w:tc>
        <w:tc>
          <w:tcPr>
            <w:tcW w:w="82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B7DEE8"/>
          </w:tcPr>
          <w:p>
            <w:pPr>
              <w:spacing w:after="0"/>
              <w:rPr>
                <w:sz w:val="18"/>
                <w:szCs w:val="18"/>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20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Debt facility, long-term</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Warrant and earnout liabilities</w:t>
            </w:r>
          </w:p>
        </w:tc>
        <w:tc>
          <w:tcPr>
            <w:tcW w:w="180" w:type="dxa"/>
            <w:vAlign w:val="bottom"/>
            <w:shd w:val="clear" w:color="auto" w:fill="B7DEE8"/>
          </w:tcPr>
          <w:p>
            <w:pPr>
              <w:spacing w:after="0"/>
              <w:rPr>
                <w:sz w:val="17"/>
                <w:szCs w:val="17"/>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17,240</w:t>
            </w: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400" w:type="dxa"/>
            <w:vAlign w:val="bottom"/>
            <w:tcBorders>
              <w:right w:val="single" w:sz="8" w:color="B7DEE8"/>
            </w:tcBorders>
            <w:shd w:val="clear" w:color="auto" w:fill="B7DEE8"/>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shd w:val="clear" w:color="auto" w:fill="B7DEE8"/>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141,939</w:t>
            </w:r>
          </w:p>
        </w:tc>
        <w:tc>
          <w:tcPr>
            <w:tcW w:w="180" w:type="dxa"/>
            <w:vAlign w:val="bottom"/>
            <w:shd w:val="clear" w:color="auto" w:fill="B7DEE8"/>
          </w:tcPr>
          <w:p>
            <w:pPr>
              <w:spacing w:after="0"/>
              <w:rPr>
                <w:sz w:val="20"/>
                <w:szCs w:val="20"/>
                <w:color w:val="auto"/>
              </w:rPr>
            </w:pPr>
          </w:p>
        </w:tc>
        <w:tc>
          <w:tcPr>
            <w:tcW w:w="320" w:type="dxa"/>
            <w:vAlign w:val="bottom"/>
            <w:gridSpan w:val="2"/>
            <w:shd w:val="clear" w:color="auto" w:fill="B7DEE8"/>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116,226</w:t>
            </w:r>
          </w:p>
        </w:tc>
        <w:tc>
          <w:tcPr>
            <w:tcW w:w="100" w:type="dxa"/>
            <w:vAlign w:val="bottom"/>
            <w:shd w:val="clear" w:color="auto" w:fill="B7DEE8"/>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7400" w:type="dxa"/>
            <w:vAlign w:val="bottom"/>
            <w:tcBorders>
              <w:top w:val="single" w:sz="8" w:color="B7DEE8"/>
            </w:tcBorders>
          </w:tcPr>
          <w:p>
            <w:pPr>
              <w:ind w:left="6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Borders>
              <w:top w:val="single" w:sz="8" w:color="B7DEE8"/>
            </w:tcBorders>
          </w:tcPr>
          <w:p>
            <w:pPr>
              <w:spacing w:after="0"/>
              <w:rPr>
                <w:sz w:val="15"/>
                <w:szCs w:val="15"/>
                <w:color w:val="auto"/>
              </w:rPr>
            </w:pPr>
          </w:p>
        </w:tc>
        <w:tc>
          <w:tcPr>
            <w:tcW w:w="120" w:type="dxa"/>
            <w:vAlign w:val="bottom"/>
            <w:tcBorders>
              <w:top w:val="single" w:sz="8" w:color="B7DEE8"/>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B7DEE8"/>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shd w:val="clear" w:color="auto" w:fill="B7DEE8"/>
          </w:tcPr>
          <w:p>
            <w:pPr>
              <w:spacing w:after="0"/>
              <w:rPr>
                <w:sz w:val="17"/>
                <w:szCs w:val="17"/>
                <w:color w:val="auto"/>
              </w:rPr>
            </w:pPr>
          </w:p>
        </w:tc>
        <w:tc>
          <w:tcPr>
            <w:tcW w:w="1100" w:type="dxa"/>
            <w:vAlign w:val="bottom"/>
            <w:shd w:val="clear" w:color="auto" w:fill="B7DEE8"/>
          </w:tcPr>
          <w:p>
            <w:pPr>
              <w:spacing w:after="0"/>
              <w:rPr>
                <w:sz w:val="17"/>
                <w:szCs w:val="17"/>
                <w:color w:val="auto"/>
              </w:rPr>
            </w:pP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Preferred stock, par value per share $0.0001, 10,000,000 shares authorized; 0 shares issued and outstanding at</w:t>
            </w: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September 30, 2025 and December 31, 2024</w:t>
            </w:r>
          </w:p>
        </w:tc>
        <w:tc>
          <w:tcPr>
            <w:tcW w:w="1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80" w:type="dxa"/>
            <w:vAlign w:val="bottom"/>
          </w:tcPr>
          <w:p>
            <w:pPr>
              <w:spacing w:after="0"/>
              <w:rPr>
                <w:sz w:val="9"/>
                <w:szCs w:val="9"/>
                <w:color w:val="auto"/>
              </w:rPr>
            </w:pPr>
          </w:p>
        </w:tc>
        <w:tc>
          <w:tcPr>
            <w:tcW w:w="74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Class A common stock, par value per share $0.0001, 500,000,000 shares authorized; 12,452,402 and</w:t>
            </w:r>
          </w:p>
        </w:tc>
        <w:tc>
          <w:tcPr>
            <w:tcW w:w="180" w:type="dxa"/>
            <w:vAlign w:val="bottom"/>
            <w:shd w:val="clear" w:color="auto" w:fill="B7DEE8"/>
          </w:tcPr>
          <w:p>
            <w:pPr>
              <w:spacing w:after="0"/>
              <w:rPr>
                <w:sz w:val="16"/>
                <w:szCs w:val="16"/>
                <w:color w:val="auto"/>
              </w:rPr>
            </w:pPr>
          </w:p>
        </w:tc>
        <w:tc>
          <w:tcPr>
            <w:tcW w:w="1100" w:type="dxa"/>
            <w:vAlign w:val="bottom"/>
            <w:shd w:val="clear" w:color="auto" w:fill="B7DEE8"/>
          </w:tcPr>
          <w:p>
            <w:pPr>
              <w:spacing w:after="0"/>
              <w:rPr>
                <w:sz w:val="16"/>
                <w:szCs w:val="16"/>
                <w:color w:val="auto"/>
              </w:rPr>
            </w:pPr>
          </w:p>
        </w:tc>
        <w:tc>
          <w:tcPr>
            <w:tcW w:w="18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200" w:type="dxa"/>
            <w:vAlign w:val="bottom"/>
            <w:shd w:val="clear" w:color="auto" w:fill="B7DEE8"/>
          </w:tcPr>
          <w:p>
            <w:pPr>
              <w:spacing w:after="0"/>
              <w:rPr>
                <w:sz w:val="16"/>
                <w:szCs w:val="16"/>
                <w:color w:val="auto"/>
              </w:rPr>
            </w:pPr>
          </w:p>
        </w:tc>
        <w:tc>
          <w:tcPr>
            <w:tcW w:w="82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11,551,528 shares issued at September 30, 2025 and December 31, 2024, respectively; 12,189,314 and</w:t>
            </w:r>
          </w:p>
        </w:tc>
        <w:tc>
          <w:tcPr>
            <w:tcW w:w="180" w:type="dxa"/>
            <w:vAlign w:val="bottom"/>
            <w:shd w:val="clear" w:color="auto" w:fill="B7DEE8"/>
          </w:tcPr>
          <w:p>
            <w:pPr>
              <w:spacing w:after="0"/>
              <w:rPr>
                <w:sz w:val="17"/>
                <w:szCs w:val="17"/>
                <w:color w:val="auto"/>
              </w:rPr>
            </w:pPr>
          </w:p>
        </w:tc>
        <w:tc>
          <w:tcPr>
            <w:tcW w:w="1100" w:type="dxa"/>
            <w:vAlign w:val="bottom"/>
            <w:shd w:val="clear" w:color="auto" w:fill="B7DEE8"/>
          </w:tcPr>
          <w:p>
            <w:pPr>
              <w:spacing w:after="0"/>
              <w:rPr>
                <w:sz w:val="17"/>
                <w:szCs w:val="17"/>
                <w:color w:val="auto"/>
              </w:rPr>
            </w:pP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11,501,965 shares outstanding at September 30, 2025 and December 31, 2024</w:t>
            </w:r>
          </w:p>
        </w:tc>
        <w:tc>
          <w:tcPr>
            <w:tcW w:w="180" w:type="dxa"/>
            <w:vAlign w:val="bottom"/>
            <w:shd w:val="clear" w:color="auto" w:fill="B7DEE8"/>
          </w:tcPr>
          <w:p>
            <w:pPr>
              <w:spacing w:after="0"/>
              <w:rPr>
                <w:sz w:val="18"/>
                <w:szCs w:val="18"/>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20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Class V common stock, par value per share $0.0001, 100,000,000 shares authorized; 1,314,082 and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1,514,082 shares issued and outstanding at September 30, 2025 and December 31, 2024, respectively;</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B7DEE8"/>
          </w:tcPr>
          <w:p>
            <w:pPr>
              <w:spacing w:after="0"/>
              <w:rPr>
                <w:sz w:val="17"/>
                <w:szCs w:val="17"/>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345,768</w:t>
            </w: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335,326</w:t>
            </w: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Treasury shares, at cost (213,525 Class A common stock)</w:t>
            </w: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(32,209)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Borders>
              <w:right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gain</w:t>
            </w:r>
          </w:p>
        </w:tc>
        <w:tc>
          <w:tcPr>
            <w:tcW w:w="180" w:type="dxa"/>
            <w:vAlign w:val="bottom"/>
            <w:shd w:val="clear" w:color="auto" w:fill="B7DEE8"/>
          </w:tcPr>
          <w:p>
            <w:pPr>
              <w:spacing w:after="0"/>
              <w:rPr>
                <w:sz w:val="17"/>
                <w:szCs w:val="17"/>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8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B7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(22,523)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(152,447)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7400" w:type="dxa"/>
            <w:vAlign w:val="bottom"/>
            <w:tcBorders>
              <w:right w:val="single" w:sz="8" w:color="B7DEE8"/>
            </w:tcBorders>
            <w:shd w:val="clear" w:color="auto" w:fill="B7DEE8"/>
          </w:tcPr>
          <w:p>
            <w:pPr>
              <w:ind w:left="20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80" w:type="dxa"/>
            <w:vAlign w:val="bottom"/>
            <w:shd w:val="clear" w:color="auto" w:fill="B7DEE8"/>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291,312</w:t>
            </w:r>
          </w:p>
        </w:tc>
        <w:tc>
          <w:tcPr>
            <w:tcW w:w="180" w:type="dxa"/>
            <w:vAlign w:val="bottom"/>
            <w:shd w:val="clear" w:color="auto" w:fill="B7DEE8"/>
          </w:tcPr>
          <w:p>
            <w:pPr>
              <w:spacing w:after="0"/>
              <w:rPr>
                <w:sz w:val="18"/>
                <w:szCs w:val="18"/>
                <w:color w:val="auto"/>
              </w:rPr>
            </w:pPr>
          </w:p>
        </w:tc>
        <w:tc>
          <w:tcPr>
            <w:tcW w:w="320" w:type="dxa"/>
            <w:vAlign w:val="bottom"/>
            <w:gridSpan w:val="2"/>
            <w:shd w:val="clear" w:color="auto" w:fill="B7DEE8"/>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183,101</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00" w:type="dxa"/>
            <w:vAlign w:val="bottom"/>
            <w:tcBorders>
              <w:top w:val="single" w:sz="8" w:color="B7DEE8"/>
              <w:right w:val="single" w:sz="8" w:color="B7DEE8"/>
            </w:tcBorders>
            <w:shd w:val="clear" w:color="auto" w:fill="B7DE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B7DEE8"/>
            </w:tcBorders>
            <w:shd w:val="clear" w:color="auto" w:fill="B7DEE8"/>
          </w:tcPr>
          <w:p>
            <w:pPr>
              <w:spacing w:after="0" w:line="20" w:lineRule="exact"/>
              <w:rPr>
                <w:sz w:val="1"/>
                <w:szCs w:val="1"/>
                <w:color w:val="auto"/>
              </w:rPr>
            </w:pPr>
          </w:p>
        </w:tc>
        <w:tc>
          <w:tcPr>
            <w:tcW w:w="120" w:type="dxa"/>
            <w:vAlign w:val="bottom"/>
            <w:tcBorders>
              <w:top w:val="single" w:sz="8" w:color="B7DEE8"/>
            </w:tcBorders>
            <w:shd w:val="clear" w:color="auto" w:fill="B7DE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7DEE8"/>
            </w:tcBorders>
            <w:shd w:val="clear" w:color="auto" w:fill="B7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433,251</w:t>
            </w:r>
          </w:p>
        </w:tc>
        <w:tc>
          <w:tcPr>
            <w:tcW w:w="180" w:type="dxa"/>
            <w:vAlign w:val="bottom"/>
          </w:tcPr>
          <w:p>
            <w:pPr>
              <w:spacing w:after="0"/>
              <w:rPr>
                <w:sz w:val="15"/>
                <w:szCs w:val="15"/>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299,327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1"/>
        </w:trPr>
        <w:tc>
          <w:tcPr>
            <w:tcW w:w="5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-6171565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-6171565</wp:posOffset>
            </wp:positionV>
            <wp:extent cx="60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-5005705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-5005705</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-3813810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-3813810</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-2896870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-2879725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-2896870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-2879725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-1062355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-1045210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-1045210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733425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w:t>
      </w:r>
    </w:p>
    <w:p>
      <w:pPr>
        <w:spacing w:after="0" w:line="38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360" w:type="dxa"/>
            <w:vAlign w:val="bottom"/>
          </w:tcPr>
          <w:p>
            <w:pPr>
              <w:spacing w:after="0"/>
              <w:rPr>
                <w:sz w:val="18"/>
                <w:szCs w:val="18"/>
                <w:color w:val="auto"/>
              </w:rPr>
            </w:pPr>
          </w:p>
        </w:tc>
        <w:tc>
          <w:tcPr>
            <w:tcW w:w="2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130"/>
        </w:trPr>
        <w:tc>
          <w:tcPr>
            <w:tcW w:w="5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100" w:type="dxa"/>
            <w:vAlign w:val="bottom"/>
            <w:gridSpan w:val="2"/>
            <w:shd w:val="clear" w:color="auto" w:fill="B6DEE8"/>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46,106</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ExtraCash receivables, net of allowance for credit losses</w:t>
            </w:r>
          </w:p>
        </w:tc>
        <w:tc>
          <w:tcPr>
            <w:tcW w:w="380" w:type="dxa"/>
            <w:vAlign w:val="bottom"/>
            <w:shd w:val="clear" w:color="auto" w:fill="B6DEE8"/>
          </w:tcPr>
          <w:p>
            <w:pPr>
              <w:spacing w:after="0"/>
              <w:rPr>
                <w:sz w:val="18"/>
                <w:szCs w:val="18"/>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220,523</w:t>
            </w:r>
          </w:p>
        </w:tc>
        <w:tc>
          <w:tcPr>
            <w:tcW w:w="360" w:type="dxa"/>
            <w:vAlign w:val="bottom"/>
            <w:shd w:val="clear" w:color="auto" w:fill="B6DEE8"/>
          </w:tcPr>
          <w:p>
            <w:pPr>
              <w:spacing w:after="0"/>
              <w:rPr>
                <w:sz w:val="18"/>
                <w:szCs w:val="18"/>
                <w:color w:val="auto"/>
              </w:rPr>
            </w:pPr>
          </w:p>
        </w:tc>
        <w:tc>
          <w:tcPr>
            <w:tcW w:w="740" w:type="dxa"/>
            <w:vAlign w:val="bottom"/>
            <w:shd w:val="clear" w:color="auto" w:fill="B6DEE8"/>
          </w:tcPr>
          <w:p>
            <w:pPr>
              <w:spacing w:after="0"/>
              <w:rPr>
                <w:sz w:val="18"/>
                <w:szCs w:val="18"/>
                <w:color w:val="auto"/>
              </w:rPr>
            </w:pP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158,447</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facility commitment fee, current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B6DEE8"/>
            </w:tcBorders>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Debt facility commitment fee, long-term</w:t>
            </w:r>
          </w:p>
        </w:tc>
        <w:tc>
          <w:tcPr>
            <w:tcW w:w="380" w:type="dxa"/>
            <w:vAlign w:val="bottom"/>
            <w:tcBorders>
              <w:bottom w:val="single" w:sz="8" w:color="auto"/>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B6DEE8"/>
            </w:tcBorders>
            <w:shd w:val="clear" w:color="auto" w:fill="B6DEE8"/>
          </w:tcPr>
          <w:p>
            <w:pPr>
              <w:spacing w:after="0"/>
              <w:rPr>
                <w:sz w:val="18"/>
                <w:szCs w:val="18"/>
                <w:color w:val="auto"/>
              </w:rPr>
            </w:pPr>
          </w:p>
        </w:tc>
        <w:tc>
          <w:tcPr>
            <w:tcW w:w="740" w:type="dxa"/>
            <w:vAlign w:val="bottom"/>
            <w:tcBorders>
              <w:bottom w:val="single" w:sz="8" w:color="auto"/>
            </w:tcBorders>
            <w:shd w:val="clear" w:color="auto" w:fill="B6DEE8"/>
          </w:tcPr>
          <w:p>
            <w:pPr>
              <w:spacing w:after="0"/>
              <w:rPr>
                <w:sz w:val="18"/>
                <w:szCs w:val="18"/>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255,429</w:t>
            </w:r>
          </w:p>
        </w:tc>
        <w:tc>
          <w:tcPr>
            <w:tcW w:w="1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B6DEE8"/>
          </w:tcPr>
          <w:p>
            <w:pPr>
              <w:spacing w:after="0"/>
              <w:rPr>
                <w:sz w:val="17"/>
                <w:szCs w:val="17"/>
                <w:color w:val="auto"/>
              </w:rPr>
            </w:pPr>
          </w:p>
        </w:tc>
        <w:tc>
          <w:tcPr>
            <w:tcW w:w="1300" w:type="dxa"/>
            <w:vAlign w:val="bottom"/>
            <w:shd w:val="clear" w:color="auto" w:fill="B6DEE8"/>
          </w:tcPr>
          <w:p>
            <w:pPr>
              <w:spacing w:after="0"/>
              <w:rPr>
                <w:sz w:val="17"/>
                <w:szCs w:val="17"/>
                <w:color w:val="auto"/>
              </w:rPr>
            </w:pPr>
          </w:p>
        </w:tc>
        <w:tc>
          <w:tcPr>
            <w:tcW w:w="360" w:type="dxa"/>
            <w:vAlign w:val="bottom"/>
            <w:shd w:val="clear" w:color="auto" w:fill="B6DEE8"/>
          </w:tcPr>
          <w:p>
            <w:pPr>
              <w:spacing w:after="0"/>
              <w:rPr>
                <w:sz w:val="17"/>
                <w:szCs w:val="17"/>
                <w:color w:val="auto"/>
              </w:rPr>
            </w:pPr>
          </w:p>
        </w:tc>
        <w:tc>
          <w:tcPr>
            <w:tcW w:w="740" w:type="dxa"/>
            <w:vAlign w:val="bottom"/>
            <w:shd w:val="clear" w:color="auto" w:fill="B6DEE8"/>
          </w:tcPr>
          <w:p>
            <w:pPr>
              <w:spacing w:after="0"/>
              <w:rPr>
                <w:sz w:val="17"/>
                <w:szCs w:val="17"/>
                <w:color w:val="auto"/>
              </w:rPr>
            </w:pPr>
          </w:p>
        </w:tc>
        <w:tc>
          <w:tcPr>
            <w:tcW w:w="126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B6DEE8"/>
            </w:tcBorders>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Long-term debt facility</w:t>
            </w:r>
          </w:p>
        </w:tc>
        <w:tc>
          <w:tcPr>
            <w:tcW w:w="380" w:type="dxa"/>
            <w:vAlign w:val="bottom"/>
            <w:tcBorders>
              <w:bottom w:val="single" w:sz="8" w:color="auto"/>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60" w:type="dxa"/>
            <w:vAlign w:val="bottom"/>
            <w:tcBorders>
              <w:bottom w:val="single" w:sz="8" w:color="B6DEE8"/>
            </w:tcBorders>
            <w:shd w:val="clear" w:color="auto" w:fill="B6DEE8"/>
          </w:tcPr>
          <w:p>
            <w:pPr>
              <w:spacing w:after="0"/>
              <w:rPr>
                <w:sz w:val="18"/>
                <w:szCs w:val="18"/>
                <w:color w:val="auto"/>
              </w:rPr>
            </w:pPr>
          </w:p>
        </w:tc>
        <w:tc>
          <w:tcPr>
            <w:tcW w:w="740" w:type="dxa"/>
            <w:vAlign w:val="bottom"/>
            <w:tcBorders>
              <w:bottom w:val="single" w:sz="8" w:color="auto"/>
            </w:tcBorders>
            <w:shd w:val="clear" w:color="auto" w:fill="B6DEE8"/>
          </w:tcPr>
          <w:p>
            <w:pPr>
              <w:spacing w:after="0"/>
              <w:rPr>
                <w:sz w:val="18"/>
                <w:szCs w:val="18"/>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75,565</w:t>
            </w:r>
          </w:p>
        </w:tc>
        <w:tc>
          <w:tcPr>
            <w:tcW w:w="1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-753745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86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60" w:type="dxa"/>
            <w:vAlign w:val="bottom"/>
            <w:shd w:val="clear" w:color="auto" w:fill="B7DEE8"/>
          </w:tcPr>
          <w:p>
            <w:pPr>
              <w:spacing w:after="0"/>
              <w:rPr>
                <w:sz w:val="16"/>
                <w:szCs w:val="16"/>
                <w:color w:val="auto"/>
              </w:rPr>
            </w:pPr>
          </w:p>
        </w:tc>
        <w:tc>
          <w:tcPr>
            <w:tcW w:w="1660" w:type="dxa"/>
            <w:vAlign w:val="bottom"/>
            <w:gridSpan w:val="4"/>
            <w:shd w:val="clear" w:color="auto" w:fill="B7DEE8"/>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gridSpan w:val="3"/>
            <w:shd w:val="clear" w:color="auto" w:fill="B7DEE8"/>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shd w:val="clear" w:color="auto" w:fill="B7DEE8"/>
          </w:tcPr>
          <w:p>
            <w:pPr>
              <w:spacing w:after="0"/>
              <w:rPr>
                <w:sz w:val="16"/>
                <w:szCs w:val="16"/>
                <w:color w:val="auto"/>
              </w:rPr>
            </w:pPr>
          </w:p>
        </w:tc>
        <w:tc>
          <w:tcPr>
            <w:tcW w:w="1360" w:type="dxa"/>
            <w:vAlign w:val="bottom"/>
            <w:gridSpan w:val="4"/>
            <w:shd w:val="clear" w:color="auto" w:fill="B7DEE8"/>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3"/>
            <w:shd w:val="clear" w:color="auto" w:fill="B7DEE8"/>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B7DEE8"/>
            </w:tcBorders>
            <w:shd w:val="clear" w:color="auto" w:fill="B7DEE8"/>
          </w:tcPr>
          <w:p>
            <w:pPr>
              <w:spacing w:after="0"/>
              <w:rPr>
                <w:sz w:val="20"/>
                <w:szCs w:val="20"/>
                <w:color w:val="auto"/>
              </w:rPr>
            </w:pPr>
          </w:p>
        </w:tc>
        <w:tc>
          <w:tcPr>
            <w:tcW w:w="480" w:type="dxa"/>
            <w:vAlign w:val="bottom"/>
            <w:tcBorders>
              <w:bottom w:val="single" w:sz="8" w:color="auto"/>
            </w:tcBorders>
            <w:shd w:val="clear" w:color="auto" w:fill="B7DEE8"/>
          </w:tcPr>
          <w:p>
            <w:pPr>
              <w:spacing w:after="0"/>
              <w:rPr>
                <w:sz w:val="20"/>
                <w:szCs w:val="20"/>
                <w:color w:val="auto"/>
              </w:rPr>
            </w:pPr>
          </w:p>
        </w:tc>
        <w:tc>
          <w:tcPr>
            <w:tcW w:w="940" w:type="dxa"/>
            <w:vAlign w:val="bottom"/>
            <w:tcBorders>
              <w:bottom w:val="single" w:sz="8" w:color="auto"/>
            </w:tcBorders>
            <w:shd w:val="clear" w:color="auto" w:fill="B7DEE8"/>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B7DEE8"/>
            </w:tcBorders>
            <w:shd w:val="clear" w:color="auto" w:fill="B7DEE8"/>
          </w:tcPr>
          <w:p>
            <w:pPr>
              <w:spacing w:after="0"/>
              <w:rPr>
                <w:sz w:val="20"/>
                <w:szCs w:val="20"/>
                <w:color w:val="auto"/>
              </w:rPr>
            </w:pPr>
          </w:p>
        </w:tc>
        <w:tc>
          <w:tcPr>
            <w:tcW w:w="140" w:type="dxa"/>
            <w:vAlign w:val="bottom"/>
            <w:tcBorders>
              <w:bottom w:val="single" w:sz="8" w:color="B7DEE8"/>
            </w:tcBorders>
            <w:shd w:val="clear" w:color="auto" w:fill="B7DEE8"/>
          </w:tcPr>
          <w:p>
            <w:pPr>
              <w:spacing w:after="0"/>
              <w:rPr>
                <w:sz w:val="20"/>
                <w:szCs w:val="20"/>
                <w:color w:val="auto"/>
              </w:rPr>
            </w:pPr>
          </w:p>
        </w:tc>
        <w:tc>
          <w:tcPr>
            <w:tcW w:w="240" w:type="dxa"/>
            <w:vAlign w:val="bottom"/>
            <w:tcBorders>
              <w:bottom w:val="single" w:sz="8" w:color="auto"/>
            </w:tcBorders>
            <w:shd w:val="clear" w:color="auto" w:fill="B7DEE8"/>
          </w:tcPr>
          <w:p>
            <w:pPr>
              <w:spacing w:after="0"/>
              <w:rPr>
                <w:sz w:val="20"/>
                <w:szCs w:val="20"/>
                <w:color w:val="auto"/>
              </w:rPr>
            </w:pPr>
          </w:p>
        </w:tc>
        <w:tc>
          <w:tcPr>
            <w:tcW w:w="960" w:type="dxa"/>
            <w:vAlign w:val="bottom"/>
            <w:tcBorders>
              <w:bottom w:val="single" w:sz="8" w:color="auto"/>
            </w:tcBorders>
            <w:shd w:val="clear" w:color="auto" w:fill="B7DEE8"/>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B7DEE8"/>
            </w:tcBorders>
            <w:shd w:val="clear" w:color="auto" w:fill="B7DEE8"/>
          </w:tcPr>
          <w:p>
            <w:pPr>
              <w:spacing w:after="0"/>
              <w:rPr>
                <w:sz w:val="20"/>
                <w:szCs w:val="20"/>
                <w:color w:val="auto"/>
              </w:rPr>
            </w:pPr>
          </w:p>
        </w:tc>
        <w:tc>
          <w:tcPr>
            <w:tcW w:w="80" w:type="dxa"/>
            <w:vAlign w:val="bottom"/>
            <w:tcBorders>
              <w:bottom w:val="single" w:sz="8" w:color="B7DEE8"/>
            </w:tcBorders>
            <w:shd w:val="clear" w:color="auto" w:fill="B7DEE8"/>
          </w:tcPr>
          <w:p>
            <w:pPr>
              <w:spacing w:after="0"/>
              <w:rPr>
                <w:sz w:val="20"/>
                <w:szCs w:val="20"/>
                <w:color w:val="auto"/>
              </w:rPr>
            </w:pPr>
          </w:p>
        </w:tc>
        <w:tc>
          <w:tcPr>
            <w:tcW w:w="160" w:type="dxa"/>
            <w:vAlign w:val="bottom"/>
            <w:tcBorders>
              <w:bottom w:val="single" w:sz="8" w:color="auto"/>
            </w:tcBorders>
            <w:shd w:val="clear" w:color="auto" w:fill="B7DEE8"/>
          </w:tcPr>
          <w:p>
            <w:pPr>
              <w:spacing w:after="0"/>
              <w:rPr>
                <w:sz w:val="20"/>
                <w:szCs w:val="20"/>
                <w:color w:val="auto"/>
              </w:rPr>
            </w:pPr>
          </w:p>
        </w:tc>
        <w:tc>
          <w:tcPr>
            <w:tcW w:w="1020" w:type="dxa"/>
            <w:vAlign w:val="bottom"/>
            <w:tcBorders>
              <w:bottom w:val="single" w:sz="8" w:color="auto"/>
            </w:tcBorders>
            <w:shd w:val="clear" w:color="auto" w:fill="B7DEE8"/>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B7DEE8"/>
            </w:tcBorders>
            <w:shd w:val="clear" w:color="auto" w:fill="B7DEE8"/>
          </w:tcPr>
          <w:p>
            <w:pPr>
              <w:spacing w:after="0"/>
              <w:rPr>
                <w:sz w:val="20"/>
                <w:szCs w:val="20"/>
                <w:color w:val="auto"/>
              </w:rPr>
            </w:pPr>
          </w:p>
        </w:tc>
        <w:tc>
          <w:tcPr>
            <w:tcW w:w="80" w:type="dxa"/>
            <w:vAlign w:val="bottom"/>
            <w:tcBorders>
              <w:bottom w:val="single" w:sz="8" w:color="B7DEE8"/>
            </w:tcBorders>
            <w:shd w:val="clear" w:color="auto" w:fill="B7DEE8"/>
          </w:tcPr>
          <w:p>
            <w:pPr>
              <w:spacing w:after="0"/>
              <w:rPr>
                <w:sz w:val="20"/>
                <w:szCs w:val="20"/>
                <w:color w:val="auto"/>
              </w:rPr>
            </w:pPr>
          </w:p>
        </w:tc>
        <w:tc>
          <w:tcPr>
            <w:tcW w:w="260" w:type="dxa"/>
            <w:vAlign w:val="bottom"/>
            <w:tcBorders>
              <w:bottom w:val="single" w:sz="8" w:color="auto"/>
            </w:tcBorders>
            <w:shd w:val="clear" w:color="auto" w:fill="B7DEE8"/>
          </w:tcPr>
          <w:p>
            <w:pPr>
              <w:spacing w:after="0"/>
              <w:rPr>
                <w:sz w:val="20"/>
                <w:szCs w:val="20"/>
                <w:color w:val="auto"/>
              </w:rPr>
            </w:pPr>
          </w:p>
        </w:tc>
        <w:tc>
          <w:tcPr>
            <w:tcW w:w="960" w:type="dxa"/>
            <w:vAlign w:val="bottom"/>
            <w:tcBorders>
              <w:bottom w:val="single" w:sz="8" w:color="auto"/>
            </w:tcBorders>
            <w:shd w:val="clear" w:color="auto" w:fill="B7DEE8"/>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B7DEE8"/>
            </w:tcBorders>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480" w:type="dxa"/>
            <w:vAlign w:val="bottom"/>
            <w:shd w:val="clear" w:color="auto" w:fill="B7DEE8"/>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0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100" w:type="dxa"/>
            <w:vAlign w:val="bottom"/>
            <w:shd w:val="clear" w:color="auto" w:fill="B7DEE8"/>
          </w:tcPr>
          <w:p>
            <w:pPr>
              <w:spacing w:after="0"/>
              <w:rPr>
                <w:sz w:val="18"/>
                <w:szCs w:val="18"/>
                <w:color w:val="auto"/>
              </w:rPr>
            </w:pPr>
          </w:p>
        </w:tc>
        <w:tc>
          <w:tcPr>
            <w:tcW w:w="240" w:type="dxa"/>
            <w:vAlign w:val="bottom"/>
            <w:gridSpan w:val="2"/>
            <w:shd w:val="clear" w:color="auto" w:fill="B7DEE8"/>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358,673</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220,603</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480" w:type="dxa"/>
            <w:vAlign w:val="bottom"/>
            <w:tcBorders>
              <w:bottom w:val="single" w:sz="8" w:color="auto"/>
            </w:tcBorders>
            <w:shd w:val="clear" w:color="auto" w:fill="B7DEE8"/>
          </w:tcPr>
          <w:p>
            <w:pPr>
              <w:spacing w:after="0"/>
              <w:rPr>
                <w:sz w:val="18"/>
                <w:szCs w:val="18"/>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150,725</w:t>
            </w:r>
          </w:p>
        </w:tc>
        <w:tc>
          <w:tcPr>
            <w:tcW w:w="100" w:type="dxa"/>
            <w:vAlign w:val="bottom"/>
            <w:tcBorders>
              <w:bottom w:val="single" w:sz="8" w:color="B7DEE8"/>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24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92,489</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bottom w:val="single" w:sz="8" w:color="auto"/>
            </w:tcBorders>
            <w:shd w:val="clear" w:color="auto" w:fill="B7DEE8"/>
          </w:tcPr>
          <w:p>
            <w:pPr>
              <w:spacing w:after="0"/>
              <w:rPr>
                <w:sz w:val="18"/>
                <w:szCs w:val="18"/>
                <w:color w:val="auto"/>
              </w:rPr>
            </w:pPr>
          </w:p>
        </w:tc>
        <w:tc>
          <w:tcPr>
            <w:tcW w:w="16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390,461</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bottom w:val="single" w:sz="8" w:color="auto"/>
            </w:tcBorders>
            <w:shd w:val="clear" w:color="auto" w:fill="B7DEE8"/>
          </w:tcPr>
          <w:p>
            <w:pPr>
              <w:spacing w:after="0"/>
              <w:rPr>
                <w:sz w:val="18"/>
                <w:szCs w:val="18"/>
                <w:color w:val="auto"/>
              </w:rPr>
            </w:pPr>
          </w:p>
        </w:tc>
        <w:tc>
          <w:tcPr>
            <w:tcW w:w="26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246,236</w:t>
            </w:r>
          </w:p>
        </w:tc>
        <w:tc>
          <w:tcPr>
            <w:tcW w:w="12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8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10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65,744</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48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8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0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78,523</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79,019</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B7DEE8"/>
            </w:tcBorders>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80" w:type="dxa"/>
            <w:vAlign w:val="bottom"/>
            <w:tcBorders>
              <w:bottom w:val="single" w:sz="8" w:color="auto"/>
            </w:tcBorders>
            <w:shd w:val="clear" w:color="auto" w:fill="B7DEE8"/>
          </w:tcPr>
          <w:p>
            <w:pPr>
              <w:spacing w:after="0"/>
              <w:rPr>
                <w:sz w:val="18"/>
                <w:szCs w:val="18"/>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tcBorders>
              <w:bottom w:val="single" w:sz="8" w:color="B7DEE8"/>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24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bottom w:val="single" w:sz="8" w:color="auto"/>
            </w:tcBorders>
            <w:shd w:val="clear" w:color="auto" w:fill="B7DEE8"/>
          </w:tcPr>
          <w:p>
            <w:pPr>
              <w:spacing w:after="0"/>
              <w:rPr>
                <w:sz w:val="18"/>
                <w:szCs w:val="18"/>
                <w:color w:val="auto"/>
              </w:rPr>
            </w:pPr>
          </w:p>
        </w:tc>
        <w:tc>
          <w:tcPr>
            <w:tcW w:w="16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23,751</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bottom w:val="single" w:sz="8" w:color="auto"/>
            </w:tcBorders>
            <w:shd w:val="clear" w:color="auto" w:fill="B7DEE8"/>
          </w:tcPr>
          <w:p>
            <w:pPr>
              <w:spacing w:after="0"/>
              <w:rPr>
                <w:sz w:val="18"/>
                <w:szCs w:val="18"/>
                <w:color w:val="auto"/>
              </w:rPr>
            </w:pPr>
          </w:p>
        </w:tc>
        <w:tc>
          <w:tcPr>
            <w:tcW w:w="26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2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104,827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89,939</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268,332</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480" w:type="dxa"/>
            <w:vAlign w:val="bottom"/>
            <w:shd w:val="clear" w:color="auto" w:fill="B7DEE8"/>
          </w:tcPr>
          <w:p>
            <w:pPr>
              <w:spacing w:after="0"/>
              <w:rPr>
                <w:sz w:val="18"/>
                <w:szCs w:val="18"/>
                <w:color w:val="auto"/>
              </w:rPr>
            </w:pPr>
          </w:p>
        </w:tc>
        <w:tc>
          <w:tcPr>
            <w:tcW w:w="9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(33,442)</w:t>
            </w: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480" w:type="dxa"/>
            <w:vAlign w:val="bottom"/>
            <w:shd w:val="clear" w:color="auto" w:fill="B7DEE8"/>
          </w:tcPr>
          <w:p>
            <w:pPr>
              <w:spacing w:after="0"/>
              <w:rPr>
                <w:sz w:val="18"/>
                <w:szCs w:val="18"/>
                <w:color w:val="auto"/>
              </w:rPr>
            </w:pPr>
          </w:p>
        </w:tc>
        <w:tc>
          <w:tcPr>
            <w:tcW w:w="104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(4,841)</w:t>
            </w: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48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(9,186)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480" w:type="dxa"/>
            <w:vAlign w:val="bottom"/>
            <w:shd w:val="clear" w:color="auto" w:fill="B7DEE8"/>
          </w:tcPr>
          <w:p>
            <w:pPr>
              <w:spacing w:after="0"/>
              <w:rPr>
                <w:sz w:val="18"/>
                <w:szCs w:val="18"/>
                <w:color w:val="auto"/>
              </w:rPr>
            </w:pPr>
          </w:p>
        </w:tc>
        <w:tc>
          <w:tcPr>
            <w:tcW w:w="104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(12,532)</w:t>
            </w: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18,323</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10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(29,243)</w:t>
            </w:r>
          </w:p>
        </w:tc>
        <w:tc>
          <w:tcPr>
            <w:tcW w:w="0" w:type="dxa"/>
            <w:vAlign w:val="bottom"/>
          </w:tcPr>
          <w:p>
            <w:pPr>
              <w:spacing w:after="0"/>
              <w:rPr>
                <w:sz w:val="1"/>
                <w:szCs w:val="1"/>
                <w:color w:val="auto"/>
              </w:rPr>
            </w:pPr>
          </w:p>
        </w:tc>
      </w:tr>
      <w:tr>
        <w:trPr>
          <w:trHeight w:val="209"/>
        </w:trPr>
        <w:tc>
          <w:tcPr>
            <w:tcW w:w="436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before provision (benefit) for income taxes</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58,430</w:t>
            </w:r>
          </w:p>
        </w:tc>
        <w:tc>
          <w:tcPr>
            <w:tcW w:w="100" w:type="dxa"/>
            <w:vAlign w:val="bottom"/>
            <w:tcBorders>
              <w:top w:val="single" w:sz="8" w:color="B7DE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00" w:type="dxa"/>
            <w:vAlign w:val="bottom"/>
            <w:tcBorders>
              <w:top w:val="single" w:sz="8" w:color="B7DE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103,806</w:t>
            </w:r>
          </w:p>
        </w:tc>
        <w:tc>
          <w:tcPr>
            <w:tcW w:w="100" w:type="dxa"/>
            <w:vAlign w:val="bottom"/>
            <w:tcBorders>
              <w:top w:val="single" w:sz="8" w:color="B7DE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42,861</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80" w:type="dxa"/>
            <w:vAlign w:val="bottom"/>
            <w:shd w:val="clear" w:color="auto" w:fill="B7DEE8"/>
          </w:tcPr>
          <w:p>
            <w:pPr>
              <w:spacing w:after="0"/>
              <w:rPr>
                <w:sz w:val="18"/>
                <w:szCs w:val="18"/>
                <w:color w:val="auto"/>
              </w:rPr>
            </w:pPr>
          </w:p>
        </w:tc>
        <w:tc>
          <w:tcPr>
            <w:tcW w:w="104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(33,642)</w:t>
            </w: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(26,118)</w:t>
            </w: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92,072</w:t>
            </w:r>
          </w:p>
        </w:tc>
        <w:tc>
          <w:tcPr>
            <w:tcW w:w="100" w:type="dxa"/>
            <w:vAlign w:val="bottom"/>
            <w:tcBorders>
              <w:top w:val="single" w:sz="8" w:color="B7DEE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00" w:type="dxa"/>
            <w:vAlign w:val="bottom"/>
            <w:tcBorders>
              <w:top w:val="single" w:sz="8" w:color="B7DEE8"/>
            </w:tcBorders>
          </w:tcPr>
          <w:p>
            <w:pPr>
              <w:spacing w:after="0"/>
              <w:rPr>
                <w:sz w:val="18"/>
                <w:szCs w:val="18"/>
                <w:color w:val="auto"/>
              </w:rPr>
            </w:pPr>
          </w:p>
        </w:tc>
        <w:tc>
          <w:tcPr>
            <w:tcW w:w="2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129,924</w:t>
            </w:r>
          </w:p>
        </w:tc>
        <w:tc>
          <w:tcPr>
            <w:tcW w:w="100" w:type="dxa"/>
            <w:vAlign w:val="bottom"/>
            <w:tcBorders>
              <w:top w:val="single" w:sz="8" w:color="B7DEE8"/>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41,067</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B7DEE8"/>
          </w:tcPr>
          <w:p>
            <w:pPr>
              <w:spacing w:after="0"/>
              <w:rPr>
                <w:sz w:val="17"/>
                <w:szCs w:val="17"/>
                <w:color w:val="auto"/>
              </w:rPr>
            </w:pPr>
          </w:p>
        </w:tc>
        <w:tc>
          <w:tcPr>
            <w:tcW w:w="480" w:type="dxa"/>
            <w:vAlign w:val="bottom"/>
            <w:shd w:val="clear" w:color="auto" w:fill="B7DEE8"/>
          </w:tcPr>
          <w:p>
            <w:pPr>
              <w:spacing w:after="0"/>
              <w:rPr>
                <w:sz w:val="17"/>
                <w:szCs w:val="17"/>
                <w:color w:val="auto"/>
              </w:rPr>
            </w:pPr>
          </w:p>
        </w:tc>
        <w:tc>
          <w:tcPr>
            <w:tcW w:w="9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140" w:type="dxa"/>
            <w:vAlign w:val="bottom"/>
            <w:shd w:val="clear" w:color="auto" w:fill="B7DEE8"/>
          </w:tcPr>
          <w:p>
            <w:pPr>
              <w:spacing w:after="0"/>
              <w:rPr>
                <w:sz w:val="17"/>
                <w:szCs w:val="17"/>
                <w:color w:val="auto"/>
              </w:rPr>
            </w:pPr>
          </w:p>
        </w:tc>
        <w:tc>
          <w:tcPr>
            <w:tcW w:w="240" w:type="dxa"/>
            <w:vAlign w:val="bottom"/>
            <w:shd w:val="clear" w:color="auto" w:fill="B7DEE8"/>
          </w:tcPr>
          <w:p>
            <w:pPr>
              <w:spacing w:after="0"/>
              <w:rPr>
                <w:sz w:val="17"/>
                <w:szCs w:val="17"/>
                <w:color w:val="auto"/>
              </w:rPr>
            </w:pPr>
          </w:p>
        </w:tc>
        <w:tc>
          <w:tcPr>
            <w:tcW w:w="9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8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02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80" w:type="dxa"/>
            <w:vAlign w:val="bottom"/>
            <w:shd w:val="clear" w:color="auto" w:fill="B7DEE8"/>
          </w:tcPr>
          <w:p>
            <w:pPr>
              <w:spacing w:after="0"/>
              <w:rPr>
                <w:sz w:val="17"/>
                <w:szCs w:val="17"/>
                <w:color w:val="auto"/>
              </w:rPr>
            </w:pPr>
          </w:p>
        </w:tc>
        <w:tc>
          <w:tcPr>
            <w:tcW w:w="260" w:type="dxa"/>
            <w:vAlign w:val="bottom"/>
            <w:shd w:val="clear" w:color="auto" w:fill="B7DEE8"/>
          </w:tcPr>
          <w:p>
            <w:pPr>
              <w:spacing w:after="0"/>
              <w:rPr>
                <w:sz w:val="17"/>
                <w:szCs w:val="17"/>
                <w:color w:val="auto"/>
              </w:rPr>
            </w:pPr>
          </w:p>
        </w:tc>
        <w:tc>
          <w:tcPr>
            <w:tcW w:w="9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B7DEE8"/>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B7DEE8"/>
          </w:tcPr>
          <w:p>
            <w:pPr>
              <w:spacing w:after="0"/>
              <w:rPr>
                <w:sz w:val="18"/>
                <w:szCs w:val="18"/>
                <w:color w:val="auto"/>
              </w:rPr>
            </w:pPr>
          </w:p>
        </w:tc>
        <w:tc>
          <w:tcPr>
            <w:tcW w:w="240" w:type="dxa"/>
            <w:vAlign w:val="bottom"/>
            <w:gridSpan w:val="2"/>
            <w:shd w:val="clear" w:color="auto" w:fill="B7DEE8"/>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360" w:type="dxa"/>
            <w:vAlign w:val="bottom"/>
            <w:shd w:val="clear" w:color="auto" w:fill="B7DEE8"/>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used to compute net income</w:t>
            </w:r>
          </w:p>
        </w:tc>
        <w:tc>
          <w:tcPr>
            <w:tcW w:w="480" w:type="dxa"/>
            <w:vAlign w:val="bottom"/>
            <w:shd w:val="clear" w:color="auto" w:fill="B7DEE8"/>
          </w:tcPr>
          <w:p>
            <w:pPr>
              <w:spacing w:after="0"/>
              <w:rPr>
                <w:sz w:val="16"/>
                <w:szCs w:val="16"/>
                <w:color w:val="auto"/>
              </w:rPr>
            </w:pPr>
          </w:p>
        </w:tc>
        <w:tc>
          <w:tcPr>
            <w:tcW w:w="94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140" w:type="dxa"/>
            <w:vAlign w:val="bottom"/>
            <w:shd w:val="clear" w:color="auto" w:fill="B7DEE8"/>
          </w:tcPr>
          <w:p>
            <w:pPr>
              <w:spacing w:after="0"/>
              <w:rPr>
                <w:sz w:val="16"/>
                <w:szCs w:val="16"/>
                <w:color w:val="auto"/>
              </w:rPr>
            </w:pPr>
          </w:p>
        </w:tc>
        <w:tc>
          <w:tcPr>
            <w:tcW w:w="240" w:type="dxa"/>
            <w:vAlign w:val="bottom"/>
            <w:shd w:val="clear" w:color="auto" w:fill="B7DEE8"/>
          </w:tcPr>
          <w:p>
            <w:pPr>
              <w:spacing w:after="0"/>
              <w:rPr>
                <w:sz w:val="16"/>
                <w:szCs w:val="16"/>
                <w:color w:val="auto"/>
              </w:rPr>
            </w:pPr>
          </w:p>
        </w:tc>
        <w:tc>
          <w:tcPr>
            <w:tcW w:w="96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80" w:type="dxa"/>
            <w:vAlign w:val="bottom"/>
            <w:shd w:val="clear" w:color="auto" w:fill="B7DEE8"/>
          </w:tcPr>
          <w:p>
            <w:pPr>
              <w:spacing w:after="0"/>
              <w:rPr>
                <w:sz w:val="16"/>
                <w:szCs w:val="16"/>
                <w:color w:val="auto"/>
              </w:rPr>
            </w:pPr>
          </w:p>
        </w:tc>
        <w:tc>
          <w:tcPr>
            <w:tcW w:w="160" w:type="dxa"/>
            <w:vAlign w:val="bottom"/>
            <w:shd w:val="clear" w:color="auto" w:fill="B7DEE8"/>
          </w:tcPr>
          <w:p>
            <w:pPr>
              <w:spacing w:after="0"/>
              <w:rPr>
                <w:sz w:val="16"/>
                <w:szCs w:val="16"/>
                <w:color w:val="auto"/>
              </w:rPr>
            </w:pPr>
          </w:p>
        </w:tc>
        <w:tc>
          <w:tcPr>
            <w:tcW w:w="102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80" w:type="dxa"/>
            <w:vAlign w:val="bottom"/>
            <w:shd w:val="clear" w:color="auto" w:fill="B7DEE8"/>
          </w:tcPr>
          <w:p>
            <w:pPr>
              <w:spacing w:after="0"/>
              <w:rPr>
                <w:sz w:val="16"/>
                <w:szCs w:val="16"/>
                <w:color w:val="auto"/>
              </w:rPr>
            </w:pPr>
          </w:p>
        </w:tc>
        <w:tc>
          <w:tcPr>
            <w:tcW w:w="260" w:type="dxa"/>
            <w:vAlign w:val="bottom"/>
            <w:shd w:val="clear" w:color="auto" w:fill="B7DEE8"/>
          </w:tcPr>
          <w:p>
            <w:pPr>
              <w:spacing w:after="0"/>
              <w:rPr>
                <w:sz w:val="16"/>
                <w:szCs w:val="16"/>
                <w:color w:val="auto"/>
              </w:rPr>
            </w:pPr>
          </w:p>
        </w:tc>
        <w:tc>
          <w:tcPr>
            <w:tcW w:w="96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80" w:type="dxa"/>
            <w:vAlign w:val="bottom"/>
            <w:shd w:val="clear" w:color="auto" w:fill="B7DEE8"/>
          </w:tcPr>
          <w:p>
            <w:pPr>
              <w:spacing w:after="0"/>
              <w:rPr>
                <w:sz w:val="20"/>
                <w:szCs w:val="20"/>
                <w:color w:val="auto"/>
              </w:rPr>
            </w:pPr>
          </w:p>
        </w:tc>
        <w:tc>
          <w:tcPr>
            <w:tcW w:w="94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40" w:type="dxa"/>
            <w:vAlign w:val="bottom"/>
            <w:shd w:val="clear" w:color="auto" w:fill="B7DEE8"/>
          </w:tcPr>
          <w:p>
            <w:pPr>
              <w:spacing w:after="0"/>
              <w:rPr>
                <w:sz w:val="20"/>
                <w:szCs w:val="20"/>
                <w:color w:val="auto"/>
              </w:rPr>
            </w:pPr>
          </w:p>
        </w:tc>
        <w:tc>
          <w:tcPr>
            <w:tcW w:w="240" w:type="dxa"/>
            <w:vAlign w:val="bottom"/>
            <w:shd w:val="clear" w:color="auto" w:fill="B7DEE8"/>
          </w:tcPr>
          <w:p>
            <w:pPr>
              <w:spacing w:after="0"/>
              <w:rPr>
                <w:sz w:val="20"/>
                <w:szCs w:val="20"/>
                <w:color w:val="auto"/>
              </w:rPr>
            </w:pPr>
          </w:p>
        </w:tc>
        <w:tc>
          <w:tcPr>
            <w:tcW w:w="96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80" w:type="dxa"/>
            <w:vAlign w:val="bottom"/>
            <w:shd w:val="clear" w:color="auto" w:fill="B7DEE8"/>
          </w:tcPr>
          <w:p>
            <w:pPr>
              <w:spacing w:after="0"/>
              <w:rPr>
                <w:sz w:val="20"/>
                <w:szCs w:val="20"/>
                <w:color w:val="auto"/>
              </w:rPr>
            </w:pPr>
          </w:p>
        </w:tc>
        <w:tc>
          <w:tcPr>
            <w:tcW w:w="160" w:type="dxa"/>
            <w:vAlign w:val="bottom"/>
            <w:shd w:val="clear" w:color="auto" w:fill="B7DEE8"/>
          </w:tcPr>
          <w:p>
            <w:pPr>
              <w:spacing w:after="0"/>
              <w:rPr>
                <w:sz w:val="20"/>
                <w:szCs w:val="20"/>
                <w:color w:val="auto"/>
              </w:rPr>
            </w:pPr>
          </w:p>
        </w:tc>
        <w:tc>
          <w:tcPr>
            <w:tcW w:w="102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80" w:type="dxa"/>
            <w:vAlign w:val="bottom"/>
            <w:shd w:val="clear" w:color="auto" w:fill="B7DEE8"/>
          </w:tcPr>
          <w:p>
            <w:pPr>
              <w:spacing w:after="0"/>
              <w:rPr>
                <w:sz w:val="20"/>
                <w:szCs w:val="20"/>
                <w:color w:val="auto"/>
              </w:rPr>
            </w:pPr>
          </w:p>
        </w:tc>
        <w:tc>
          <w:tcPr>
            <w:tcW w:w="260" w:type="dxa"/>
            <w:vAlign w:val="bottom"/>
            <w:shd w:val="clear" w:color="auto" w:fill="B7DEE8"/>
          </w:tcPr>
          <w:p>
            <w:pPr>
              <w:spacing w:after="0"/>
              <w:rPr>
                <w:sz w:val="20"/>
                <w:szCs w:val="20"/>
                <w:color w:val="auto"/>
              </w:rPr>
            </w:pPr>
          </w:p>
        </w:tc>
        <w:tc>
          <w:tcPr>
            <w:tcW w:w="960" w:type="dxa"/>
            <w:vAlign w:val="bottom"/>
            <w:shd w:val="clear" w:color="auto" w:fill="B7DEE8"/>
          </w:tcPr>
          <w:p>
            <w:pPr>
              <w:spacing w:after="0"/>
              <w:rPr>
                <w:sz w:val="20"/>
                <w:szCs w:val="20"/>
                <w:color w:val="auto"/>
              </w:rPr>
            </w:pPr>
          </w:p>
        </w:tc>
        <w:tc>
          <w:tcPr>
            <w:tcW w:w="120" w:type="dxa"/>
            <w:vAlign w:val="bottom"/>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13,457,671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12,639,294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13,317,504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12,426,122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14,525,301</w:t>
            </w:r>
          </w:p>
        </w:tc>
        <w:tc>
          <w:tcPr>
            <w:tcW w:w="10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13,932,652</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14,492,827</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13,587,377</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-4474210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-4474210</wp:posOffset>
            </wp:positionV>
            <wp:extent cx="59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-4474210</wp:posOffset>
            </wp:positionV>
            <wp:extent cx="59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-4474210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-3908425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-3908425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-3908425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-3908425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-2802255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-2802255</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-2802255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-2802255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-1550670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-1550670</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-1550670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-1550670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-1268095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-1268095</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-1268095</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-1268095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1148080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Dave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1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187"/>
        </w:trPr>
        <w:tc>
          <w:tcPr>
            <w:tcW w:w="4720" w:type="dxa"/>
            <w:vAlign w:val="bottom"/>
          </w:tcPr>
          <w:p>
            <w:pPr>
              <w:spacing w:after="0"/>
              <w:rPr>
                <w:sz w:val="16"/>
                <w:szCs w:val="16"/>
                <w:color w:val="auto"/>
              </w:rPr>
            </w:pP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r>
      <w:tr>
        <w:trPr>
          <w:trHeight w:val="238"/>
        </w:trPr>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47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92,072</w:t>
            </w:r>
          </w:p>
        </w:tc>
        <w:tc>
          <w:tcPr>
            <w:tcW w:w="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129,924</w:t>
            </w:r>
          </w:p>
        </w:tc>
        <w:tc>
          <w:tcPr>
            <w:tcW w:w="340" w:type="dxa"/>
            <w:vAlign w:val="bottom"/>
            <w:gridSpan w:val="2"/>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120" w:type="dxa"/>
            <w:vAlign w:val="bottom"/>
            <w:shd w:val="clear" w:color="auto" w:fill="B6DEE8"/>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20" w:type="dxa"/>
            <w:vAlign w:val="bottom"/>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40" w:type="dxa"/>
            <w:vAlign w:val="bottom"/>
            <w:shd w:val="clear" w:color="auto" w:fill="B6DEE8"/>
          </w:tcPr>
          <w:p>
            <w:pPr>
              <w:spacing w:after="0"/>
              <w:rPr>
                <w:sz w:val="18"/>
                <w:szCs w:val="18"/>
                <w:color w:val="auto"/>
              </w:rPr>
            </w:pP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04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4720" w:type="dxa"/>
            <w:vAlign w:val="bottom"/>
            <w:shd w:val="clear" w:color="auto" w:fill="B6DE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r>
      <w:tr>
        <w:trPr>
          <w:trHeight w:val="232"/>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92,250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129,978</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40,664</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-159385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-159385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-159385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736600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8" w:right="89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p>
      <w:pPr>
        <w:spacing w:after="0" w:line="71" w:lineRule="exact"/>
        <w:rPr>
          <w:sz w:val="20"/>
          <w:szCs w:val="20"/>
          <w:color w:val="auto"/>
        </w:rPr>
      </w:pPr>
    </w:p>
    <w:p>
      <w:pPr>
        <w:ind w:left="580" w:right="160"/>
        <w:spacing w:after="0" w:line="236"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 Shares withheld related to net share settlement</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Repurchase of Class A common stock</w:t>
      </w:r>
    </w:p>
    <w:p>
      <w:pPr>
        <w:spacing w:after="0" w:line="69" w:lineRule="exact"/>
        <w:rPr>
          <w:sz w:val="20"/>
          <w:szCs w:val="20"/>
          <w:color w:val="auto"/>
        </w:rPr>
      </w:pPr>
    </w:p>
    <w:p>
      <w:pPr>
        <w:ind w:left="580"/>
        <w:spacing w:after="0" w:line="233" w:lineRule="auto"/>
        <w:rPr>
          <w:sz w:val="20"/>
          <w:szCs w:val="20"/>
          <w:color w:val="auto"/>
        </w:rPr>
      </w:pPr>
      <w:r>
        <w:rPr>
          <w:rFonts w:ascii="Times New Roman" w:cs="Times New Roman" w:eastAsia="Times New Roman" w:hAnsi="Times New Roman"/>
          <w:sz w:val="14"/>
          <w:szCs w:val="14"/>
          <w:color w:val="auto"/>
        </w:rPr>
        <w:t>Conversion of Class V common stock to Class A common stock</w:t>
      </w:r>
    </w:p>
    <w:p>
      <w:pPr>
        <w:ind w:left="580"/>
        <w:spacing w:after="0" w:line="222" w:lineRule="auto"/>
        <w:rPr>
          <w:sz w:val="20"/>
          <w:szCs w:val="20"/>
          <w:color w:val="auto"/>
        </w:rPr>
      </w:pPr>
      <w:r>
        <w:rPr>
          <w:rFonts w:ascii="Times New Roman" w:cs="Times New Roman" w:eastAsia="Times New Roman" w:hAnsi="Times New Roman"/>
          <w:sz w:val="14"/>
          <w:szCs w:val="14"/>
          <w:color w:val="auto"/>
        </w:rPr>
        <w:t>Stock-based compensation</w:t>
      </w:r>
    </w:p>
    <w:p>
      <w:pPr>
        <w:ind w:left="580"/>
        <w:spacing w:after="0" w:line="221" w:lineRule="auto"/>
        <w:rPr>
          <w:sz w:val="20"/>
          <w:szCs w:val="20"/>
          <w:color w:val="auto"/>
        </w:rPr>
      </w:pPr>
      <w:r>
        <w:rPr>
          <w:rFonts w:ascii="Times New Roman" w:cs="Times New Roman" w:eastAsia="Times New Roman" w:hAnsi="Times New Roman"/>
          <w:sz w:val="14"/>
          <w:szCs w:val="14"/>
          <w:color w:val="auto"/>
        </w:rPr>
        <w:t>Unrealized gain on available-for-sale</w:t>
      </w:r>
    </w:p>
    <w:p>
      <w:pPr>
        <w:ind w:left="580"/>
        <w:spacing w:after="0" w:line="221" w:lineRule="auto"/>
        <w:rPr>
          <w:sz w:val="20"/>
          <w:szCs w:val="20"/>
          <w:color w:val="auto"/>
        </w:rPr>
      </w:pPr>
      <w:r>
        <w:rPr>
          <w:rFonts w:ascii="Times New Roman" w:cs="Times New Roman" w:eastAsia="Times New Roman" w:hAnsi="Times New Roman"/>
          <w:sz w:val="14"/>
          <w:szCs w:val="14"/>
          <w:color w:val="auto"/>
        </w:rPr>
        <w:t>securities</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Net income</w:t>
      </w:r>
    </w:p>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p>
      <w:pPr>
        <w:spacing w:after="0" w:line="71" w:lineRule="exact"/>
        <w:rPr>
          <w:sz w:val="20"/>
          <w:szCs w:val="20"/>
          <w:color w:val="auto"/>
        </w:rPr>
      </w:pPr>
    </w:p>
    <w:p>
      <w:pPr>
        <w:ind w:left="580" w:right="160"/>
        <w:spacing w:after="0"/>
        <w:rPr>
          <w:sz w:val="20"/>
          <w:szCs w:val="20"/>
          <w:color w:val="auto"/>
        </w:rPr>
      </w:pPr>
      <w:r>
        <w:rPr>
          <w:rFonts w:ascii="Times New Roman" w:cs="Times New Roman" w:eastAsia="Times New Roman" w:hAnsi="Times New Roman"/>
          <w:sz w:val="14"/>
          <w:szCs w:val="14"/>
          <w:color w:val="auto"/>
        </w:rPr>
        <w:t>Issuance of Class A common stock in connection with stock plans Stock-based compensation Unrealized loss on available-for-sale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00" w:type="dxa"/>
            <w:vAlign w:val="bottom"/>
          </w:tcPr>
          <w:p>
            <w:pPr>
              <w:spacing w:after="0"/>
              <w:rPr>
                <w:sz w:val="5"/>
                <w:szCs w:val="5"/>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2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 other</w:t>
            </w:r>
          </w:p>
        </w:tc>
        <w:tc>
          <w:tcPr>
            <w:tcW w:w="80" w:type="dxa"/>
            <w:vAlign w:val="bottom"/>
          </w:tcPr>
          <w:p>
            <w:pPr>
              <w:spacing w:after="0"/>
              <w:rPr>
                <w:sz w:val="5"/>
                <w:szCs w:val="5"/>
                <w:color w:val="auto"/>
              </w:rPr>
            </w:pPr>
          </w:p>
        </w:tc>
        <w:tc>
          <w:tcPr>
            <w:tcW w:w="8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3"/>
        </w:trPr>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4"/>
          </w:tcPr>
          <w:p>
            <w:pPr>
              <w:ind w:left="180"/>
              <w:spacing w:after="0" w:line="84" w:lineRule="exact"/>
              <w:rPr>
                <w:sz w:val="20"/>
                <w:szCs w:val="20"/>
                <w:color w:val="auto"/>
              </w:rPr>
            </w:pPr>
            <w:r>
              <w:rPr>
                <w:rFonts w:ascii="Times New Roman" w:cs="Times New Roman" w:eastAsia="Times New Roman" w:hAnsi="Times New Roman"/>
                <w:sz w:val="9"/>
                <w:szCs w:val="9"/>
                <w:b w:val="1"/>
                <w:bCs w:val="1"/>
                <w:color w:val="auto"/>
              </w:rPr>
              <w:t>capital</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3"/>
          </w:tcPr>
          <w:p>
            <w:pPr>
              <w:jc w:val="right"/>
              <w:ind w:right="380"/>
              <w:spacing w:after="0" w:line="84" w:lineRule="exact"/>
              <w:rPr>
                <w:sz w:val="20"/>
                <w:szCs w:val="20"/>
                <w:color w:val="auto"/>
              </w:rPr>
            </w:pPr>
            <w:r>
              <w:rPr>
                <w:rFonts w:ascii="Times New Roman" w:cs="Times New Roman" w:eastAsia="Times New Roman" w:hAnsi="Times New Roman"/>
                <w:sz w:val="9"/>
                <w:szCs w:val="9"/>
                <w:b w:val="1"/>
                <w:bCs w:val="1"/>
                <w:color w:val="auto"/>
              </w:rPr>
              <w:t>shares</w:t>
            </w:r>
          </w:p>
        </w:tc>
        <w:tc>
          <w:tcPr>
            <w:tcW w:w="920" w:type="dxa"/>
            <w:vAlign w:val="bottom"/>
            <w:gridSpan w:val="3"/>
          </w:tcPr>
          <w:p>
            <w:pPr>
              <w:jc w:val="center"/>
              <w:ind w:left="11"/>
              <w:spacing w:after="0" w:line="84" w:lineRule="exact"/>
              <w:rPr>
                <w:sz w:val="20"/>
                <w:szCs w:val="20"/>
                <w:color w:val="auto"/>
              </w:rPr>
            </w:pPr>
            <w:r>
              <w:rPr>
                <w:rFonts w:ascii="Times New Roman" w:cs="Times New Roman" w:eastAsia="Times New Roman" w:hAnsi="Times New Roman"/>
                <w:sz w:val="9"/>
                <w:szCs w:val="9"/>
                <w:b w:val="1"/>
                <w:bCs w:val="1"/>
                <w:color w:val="auto"/>
              </w:rPr>
              <w:t>comprehensi</w:t>
            </w:r>
          </w:p>
        </w:tc>
        <w:tc>
          <w:tcPr>
            <w:tcW w:w="80" w:type="dxa"/>
            <w:vAlign w:val="bottom"/>
          </w:tcPr>
          <w:p>
            <w:pPr>
              <w:spacing w:after="0"/>
              <w:rPr>
                <w:sz w:val="7"/>
                <w:szCs w:val="7"/>
                <w:color w:val="auto"/>
              </w:rPr>
            </w:pPr>
          </w:p>
        </w:tc>
        <w:tc>
          <w:tcPr>
            <w:tcW w:w="660" w:type="dxa"/>
            <w:vAlign w:val="bottom"/>
            <w:gridSpan w:val="3"/>
          </w:tcPr>
          <w:p>
            <w:pPr>
              <w:jc w:val="right"/>
              <w:ind w:right="20"/>
              <w:spacing w:after="0" w:line="84" w:lineRule="exact"/>
              <w:rPr>
                <w:sz w:val="20"/>
                <w:szCs w:val="20"/>
                <w:color w:val="auto"/>
              </w:rPr>
            </w:pPr>
            <w:r>
              <w:rPr>
                <w:rFonts w:ascii="Times New Roman" w:cs="Times New Roman" w:eastAsia="Times New Roman" w:hAnsi="Times New Roman"/>
                <w:sz w:val="9"/>
                <w:szCs w:val="9"/>
                <w:b w:val="1"/>
                <w:bCs w:val="1"/>
                <w:color w:val="auto"/>
              </w:rPr>
              <w:t>ed deficit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restart"/>
          </w:tcPr>
          <w:p>
            <w:pPr>
              <w:jc w:val="center"/>
              <w:ind w:left="11"/>
              <w:spacing w:after="0" w:line="160"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20" w:type="dxa"/>
            <w:vAlign w:val="bottom"/>
            <w:tcBorders>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58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11,501,</w:t>
            </w:r>
          </w:p>
        </w:tc>
        <w:tc>
          <w:tcPr>
            <w:tcW w:w="60" w:type="dxa"/>
            <w:vAlign w:val="bottom"/>
          </w:tcPr>
          <w:p>
            <w:pPr>
              <w:spacing w:after="0"/>
              <w:rPr>
                <w:sz w:val="15"/>
                <w:szCs w:val="15"/>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1,514,</w:t>
            </w:r>
          </w:p>
        </w:tc>
        <w:tc>
          <w:tcPr>
            <w:tcW w:w="4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335,326</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(152,447)</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183,101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965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082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833,186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80" w:type="dxa"/>
            <w:vAlign w:val="bottom"/>
            <w:gridSpan w:val="3"/>
          </w:tcPr>
          <w:p>
            <w:pPr>
              <w:jc w:val="right"/>
              <w:ind w:right="20"/>
              <w:spacing w:after="0" w:line="253" w:lineRule="exact"/>
              <w:rPr>
                <w:sz w:val="20"/>
                <w:szCs w:val="20"/>
                <w:color w:val="auto"/>
              </w:rPr>
            </w:pPr>
            <w:r>
              <w:rPr>
                <w:rFonts w:ascii="Times New Roman" w:cs="Times New Roman" w:eastAsia="Times New Roman" w:hAnsi="Times New Roman"/>
                <w:sz w:val="14"/>
                <w:szCs w:val="14"/>
                <w:color w:val="auto"/>
              </w:rPr>
              <w:t>(132,31</w:t>
            </w:r>
            <w:r>
              <w:rPr>
                <w:rFonts w:ascii="Times New Roman" w:cs="Times New Roman" w:eastAsia="Times New Roman" w:hAnsi="Times New Roman"/>
                <w:sz w:val="28"/>
                <w:szCs w:val="28"/>
                <w:color w:val="auto"/>
                <w:vertAlign w:val="subscript"/>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(13,319)</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(13,319)</w:t>
            </w:r>
          </w:p>
        </w:tc>
        <w:tc>
          <w:tcPr>
            <w:tcW w:w="0" w:type="dxa"/>
            <w:vAlign w:val="bottom"/>
          </w:tcPr>
          <w:p>
            <w:pPr>
              <w:spacing w:after="0"/>
              <w:rPr>
                <w:sz w:val="1"/>
                <w:szCs w:val="1"/>
                <w:color w:val="auto"/>
              </w:rPr>
            </w:pPr>
          </w:p>
        </w:tc>
      </w:tr>
      <w:tr>
        <w:trPr>
          <w:trHeight w:val="85"/>
        </w:trPr>
        <w:tc>
          <w:tcPr>
            <w:tcW w:w="62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2</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80" w:type="dxa"/>
            <w:vAlign w:val="bottom"/>
            <w:gridSpan w:val="3"/>
          </w:tcPr>
          <w:p>
            <w:pPr>
              <w:jc w:val="right"/>
              <w:ind w:right="20"/>
              <w:spacing w:after="0" w:line="212" w:lineRule="exact"/>
              <w:rPr>
                <w:sz w:val="20"/>
                <w:szCs w:val="20"/>
                <w:color w:val="auto"/>
              </w:rPr>
            </w:pPr>
            <w:r>
              <w:rPr>
                <w:rFonts w:ascii="Times New Roman" w:cs="Times New Roman" w:eastAsia="Times New Roman" w:hAnsi="Times New Roman"/>
                <w:sz w:val="13"/>
                <w:szCs w:val="13"/>
                <w:color w:val="auto"/>
              </w:rPr>
              <w:t>(213,52</w:t>
            </w:r>
            <w:r>
              <w:rPr>
                <w:rFonts w:ascii="Times New Roman" w:cs="Times New Roman" w:eastAsia="Times New Roman" w:hAnsi="Times New Roman"/>
                <w:sz w:val="24"/>
                <w:szCs w:val="24"/>
                <w:color w:val="auto"/>
                <w:vertAlign w:val="subscript"/>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(32,209)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(32,209)</w:t>
            </w:r>
          </w:p>
        </w:tc>
        <w:tc>
          <w:tcPr>
            <w:tcW w:w="0" w:type="dxa"/>
            <w:vAlign w:val="bottom"/>
          </w:tcPr>
          <w:p>
            <w:pPr>
              <w:spacing w:after="0"/>
              <w:rPr>
                <w:sz w:val="1"/>
                <w:szCs w:val="1"/>
                <w:color w:val="auto"/>
              </w:rPr>
            </w:pPr>
          </w:p>
        </w:tc>
      </w:tr>
      <w:tr>
        <w:trPr>
          <w:trHeight w:val="151"/>
        </w:trPr>
        <w:tc>
          <w:tcPr>
            <w:tcW w:w="6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6"/>
            <w:vMerge w:val="restart"/>
          </w:tcPr>
          <w:p>
            <w:pPr>
              <w:jc w:val="right"/>
              <w:spacing w:after="0" w:line="297" w:lineRule="exact"/>
              <w:rPr>
                <w:sz w:val="20"/>
                <w:szCs w:val="20"/>
                <w:color w:val="auto"/>
              </w:rPr>
            </w:pPr>
            <w:r>
              <w:rPr>
                <w:rFonts w:ascii="Times New Roman" w:cs="Times New Roman" w:eastAsia="Times New Roman" w:hAnsi="Times New Roman"/>
                <w:sz w:val="14"/>
                <w:szCs w:val="14"/>
                <w:color w:val="auto"/>
              </w:rPr>
              <w:t>(200,0</w:t>
            </w:r>
            <w:r>
              <w:rPr>
                <w:rFonts w:ascii="Times New Roman" w:cs="Times New Roman" w:eastAsia="Times New Roman" w:hAnsi="Times New Roman"/>
                <w:sz w:val="28"/>
                <w:szCs w:val="28"/>
                <w:color w:val="auto"/>
                <w:vertAlign w:val="subscript"/>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200,000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3"/>
          </w:tcPr>
          <w:p>
            <w:pPr>
              <w:jc w:val="right"/>
              <w:spacing w:after="0" w:line="85" w:lineRule="exact"/>
              <w:rPr>
                <w:sz w:val="20"/>
                <w:szCs w:val="20"/>
                <w:color w:val="auto"/>
              </w:rPr>
            </w:pPr>
            <w:r>
              <w:rPr>
                <w:rFonts w:ascii="Times New Roman" w:cs="Times New Roman" w:eastAsia="Times New Roman" w:hAnsi="Times New Roman"/>
                <w:sz w:val="9"/>
                <w:szCs w:val="9"/>
                <w:color w:val="auto"/>
              </w:rPr>
              <w:t>00</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23,011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129,924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129,924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12,189,</w:t>
            </w:r>
          </w:p>
        </w:tc>
        <w:tc>
          <w:tcPr>
            <w:tcW w:w="60" w:type="dxa"/>
            <w:vAlign w:val="bottom"/>
          </w:tcPr>
          <w:p>
            <w:pPr>
              <w:spacing w:after="0"/>
              <w:rPr>
                <w:sz w:val="15"/>
                <w:szCs w:val="15"/>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1,314,</w:t>
            </w:r>
          </w:p>
        </w:tc>
        <w:tc>
          <w:tcPr>
            <w:tcW w:w="4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345,768</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(32,209)</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275</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(22,523)</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291,312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Borders>
              <w:bottom w:val="single" w:sz="8" w:color="auto"/>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314</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3"/>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082</w:t>
            </w: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8"/>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5"/>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000" w:type="dxa"/>
            <w:vAlign w:val="bottom"/>
            <w:gridSpan w:val="4"/>
            <w:vMerge w:val="restart"/>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240" w:type="dxa"/>
            <w:vAlign w:val="bottom"/>
            <w:gridSpan w:val="5"/>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4"/>
            <w:vMerge w:val="restart"/>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4"/>
            <w:vMerge w:val="restart"/>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7"/>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3"/>
            <w:vMerge w:val="restart"/>
          </w:tcPr>
          <w:p>
            <w:pPr>
              <w:jc w:val="right"/>
              <w:ind w:right="321"/>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4"/>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4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5"/>
                <w:szCs w:val="5"/>
                <w:color w:val="auto"/>
              </w:rPr>
            </w:pPr>
          </w:p>
        </w:tc>
        <w:tc>
          <w:tcPr>
            <w:tcW w:w="8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gridSpan w:val="4"/>
            <w:vMerge w:val="restart"/>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660" w:type="dxa"/>
            <w:vAlign w:val="bottom"/>
            <w:tcBorders>
              <w:bottom w:val="single" w:sz="8" w:color="auto"/>
            </w:tcBorders>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40" w:type="dxa"/>
            <w:vAlign w:val="bottom"/>
            <w:tcBorders>
              <w:bottom w:val="single" w:sz="8" w:color="auto"/>
            </w:tcBorders>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380" w:type="dxa"/>
            <w:vAlign w:val="bottom"/>
            <w:tcBorders>
              <w:bottom w:val="single" w:sz="8" w:color="auto"/>
            </w:tcBorders>
            <w:gridSpan w:val="2"/>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10,634,1</w:t>
            </w: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1,514,0</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5"/>
                <w:szCs w:val="15"/>
                <w:color w:val="auto"/>
              </w:rPr>
            </w:pPr>
          </w:p>
        </w:tc>
        <w:tc>
          <w:tcPr>
            <w:tcW w:w="86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296,733</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100" w:type="dxa"/>
            <w:vAlign w:val="bottom"/>
          </w:tcPr>
          <w:p>
            <w:pPr>
              <w:spacing w:after="0"/>
              <w:rPr>
                <w:sz w:val="15"/>
                <w:szCs w:val="15"/>
                <w:color w:val="auto"/>
              </w:rPr>
            </w:pP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(210,320)</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87,063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558,602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color w:val="auto"/>
              </w:rPr>
              <w:t>893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color w:val="auto"/>
              </w:rPr>
              <w:t>27,195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27,195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-2873375</wp:posOffset>
            </wp:positionV>
            <wp:extent cx="641223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-2496185</wp:posOffset>
            </wp:positionV>
            <wp:extent cx="641223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-2118995</wp:posOffset>
            </wp:positionV>
            <wp:extent cx="641223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-1836420</wp:posOffset>
            </wp:positionV>
            <wp:extent cx="641223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-1544320</wp:posOffset>
            </wp:positionV>
            <wp:extent cx="641223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21463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-619125</wp:posOffset>
            </wp:positionV>
            <wp:extent cx="641223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-241935</wp:posOffset>
            </wp:positionV>
            <wp:extent cx="641223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2900" w:space="140"/>
            <w:col w:w="82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70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6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6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6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B7DEE8"/>
            </w:tcBorders>
            <w:shd w:val="clear" w:color="auto" w:fill="B7DEE8"/>
          </w:tcPr>
          <w:p>
            <w:pPr>
              <w:spacing w:after="0"/>
              <w:rPr>
                <w:sz w:val="13"/>
                <w:szCs w:val="13"/>
                <w:color w:val="auto"/>
              </w:rPr>
            </w:pPr>
          </w:p>
        </w:tc>
        <w:tc>
          <w:tcPr>
            <w:tcW w:w="10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B7DEE8"/>
            </w:tcBorders>
            <w:shd w:val="clear" w:color="auto" w:fill="B7DEE8"/>
          </w:tcPr>
          <w:p>
            <w:pPr>
              <w:spacing w:after="0"/>
              <w:rPr>
                <w:sz w:val="13"/>
                <w:szCs w:val="13"/>
                <w:color w:val="auto"/>
              </w:rPr>
            </w:pPr>
          </w:p>
        </w:tc>
        <w:tc>
          <w:tcPr>
            <w:tcW w:w="1020" w:type="dxa"/>
            <w:vAlign w:val="bottom"/>
            <w:tcBorders>
              <w:bottom w:val="single" w:sz="8" w:color="auto"/>
            </w:tcBorders>
            <w:shd w:val="clear" w:color="auto" w:fill="B7DEE8"/>
          </w:tcPr>
          <w:p>
            <w:pPr>
              <w:spacing w:after="0"/>
              <w:rPr>
                <w:sz w:val="13"/>
                <w:szCs w:val="13"/>
                <w:color w:val="auto"/>
              </w:rPr>
            </w:pPr>
          </w:p>
        </w:tc>
        <w:tc>
          <w:tcPr>
            <w:tcW w:w="100" w:type="dxa"/>
            <w:vAlign w:val="bottom"/>
            <w:tcBorders>
              <w:bottom w:val="single" w:sz="8" w:color="B7DEE8"/>
            </w:tcBorders>
            <w:shd w:val="clear" w:color="auto" w:fill="B7DEE8"/>
          </w:tcPr>
          <w:p>
            <w:pPr>
              <w:spacing w:after="0"/>
              <w:rPr>
                <w:sz w:val="13"/>
                <w:szCs w:val="13"/>
                <w:color w:val="auto"/>
              </w:rPr>
            </w:pPr>
          </w:p>
        </w:tc>
        <w:tc>
          <w:tcPr>
            <w:tcW w:w="11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41,067</w:t>
            </w:r>
          </w:p>
        </w:tc>
        <w:tc>
          <w:tcPr>
            <w:tcW w:w="100" w:type="dxa"/>
            <w:vAlign w:val="bottom"/>
            <w:tcBorders>
              <w:bottom w:val="single" w:sz="8" w:color="B7DEE8"/>
            </w:tcBorders>
            <w:shd w:val="clear" w:color="auto" w:fill="B7DEE8"/>
          </w:tcPr>
          <w:p>
            <w:pPr>
              <w:spacing w:after="0"/>
              <w:rPr>
                <w:sz w:val="13"/>
                <w:szCs w:val="13"/>
                <w:color w:val="auto"/>
              </w:rPr>
            </w:pPr>
          </w:p>
        </w:tc>
        <w:tc>
          <w:tcPr>
            <w:tcW w:w="8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41,067</w:t>
            </w:r>
          </w:p>
        </w:tc>
        <w:tc>
          <w:tcPr>
            <w:tcW w:w="120" w:type="dxa"/>
            <w:vAlign w:val="bottom"/>
            <w:tcBorders>
              <w:bottom w:val="single" w:sz="8" w:color="B7DEE8"/>
            </w:tcBorders>
            <w:shd w:val="clear" w:color="auto" w:fill="B7DEE8"/>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11,192,7</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7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1,514,0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324,821</w:t>
            </w: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246</w:t>
            </w:r>
          </w:p>
        </w:tc>
        <w:tc>
          <w:tcPr>
            <w:tcW w:w="13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(169,253)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155,815</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580" w:type="dxa"/>
            <w:vAlign w:val="bottom"/>
          </w:tcPr>
          <w:p>
            <w:pPr>
              <w:spacing w:after="0"/>
              <w:rPr>
                <w:sz w:val="11"/>
                <w:szCs w:val="11"/>
                <w:color w:val="auto"/>
              </w:rPr>
            </w:pPr>
          </w:p>
        </w:tc>
        <w:tc>
          <w:tcPr>
            <w:tcW w:w="2700" w:type="dxa"/>
            <w:vAlign w:val="bottom"/>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740" w:type="dxa"/>
            <w:vAlign w:val="bottom"/>
            <w:gridSpan w:val="2"/>
            <w:vMerge w:val="continue"/>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7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0"/>
        </w:trPr>
        <w:tc>
          <w:tcPr>
            <w:tcW w:w="5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-1199515</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-1199515</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-1199515</wp:posOffset>
            </wp:positionV>
            <wp:extent cx="59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-1199515</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-1199515</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-1199515</wp:posOffset>
            </wp:positionV>
            <wp:extent cx="59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-1199515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-1199515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p>
      <w:pPr>
        <w:spacing w:after="0" w:line="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 Conversion of Class V common stock to Class A common stock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 of Class A common stock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26" w:lineRule="auto"/>
        <w:rPr>
          <w:sz w:val="20"/>
          <w:szCs w:val="20"/>
          <w:color w:val="auto"/>
        </w:rPr>
      </w:pPr>
      <w:r>
        <w:rPr>
          <w:rFonts w:ascii="Times New Roman" w:cs="Times New Roman" w:eastAsia="Times New Roman" w:hAnsi="Times New Roman"/>
          <w:sz w:val="14"/>
          <w:szCs w:val="14"/>
          <w:color w:val="auto"/>
        </w:rPr>
        <w:t>Unrealized gain on available-for-sale</w:t>
      </w:r>
    </w:p>
    <w:p>
      <w:pPr>
        <w:spacing w:after="0" w:line="222" w:lineRule="auto"/>
        <w:rPr>
          <w:sz w:val="20"/>
          <w:szCs w:val="20"/>
          <w:color w:val="auto"/>
        </w:rPr>
      </w:pPr>
      <w:r>
        <w:rPr>
          <w:rFonts w:ascii="Times New Roman" w:cs="Times New Roman" w:eastAsia="Times New Roman" w:hAnsi="Times New Roman"/>
          <w:sz w:val="14"/>
          <w:szCs w:val="14"/>
          <w:color w:val="auto"/>
        </w:rPr>
        <w:t>securities</w:t>
      </w: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260" w:type="dxa"/>
            <w:vAlign w:val="bottom"/>
            <w:gridSpan w:val="5"/>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5"/>
                <w:szCs w:val="5"/>
                <w:color w:val="auto"/>
              </w:rPr>
            </w:pPr>
          </w:p>
        </w:tc>
        <w:tc>
          <w:tcPr>
            <w:tcW w:w="10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220" w:type="dxa"/>
            <w:vAlign w:val="bottom"/>
          </w:tcPr>
          <w:p>
            <w:pPr>
              <w:spacing w:after="0"/>
              <w:rPr>
                <w:sz w:val="5"/>
                <w:szCs w:val="5"/>
                <w:color w:val="auto"/>
              </w:rPr>
            </w:pPr>
          </w:p>
        </w:tc>
        <w:tc>
          <w:tcPr>
            <w:tcW w:w="124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5"/>
                <w:szCs w:val="5"/>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 other</w:t>
            </w:r>
          </w:p>
        </w:tc>
        <w:tc>
          <w:tcPr>
            <w:tcW w:w="80" w:type="dxa"/>
            <w:vAlign w:val="bottom"/>
          </w:tcPr>
          <w:p>
            <w:pPr>
              <w:spacing w:after="0"/>
              <w:rPr>
                <w:sz w:val="5"/>
                <w:szCs w:val="5"/>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3"/>
        </w:trPr>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b w:val="1"/>
                <w:bCs w:val="1"/>
                <w:color w:val="auto"/>
              </w:rPr>
              <w:t>capital</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tcPr>
          <w:p>
            <w:pPr>
              <w:jc w:val="right"/>
              <w:ind w:right="380"/>
              <w:spacing w:after="0" w:line="84" w:lineRule="exact"/>
              <w:rPr>
                <w:sz w:val="20"/>
                <w:szCs w:val="20"/>
                <w:color w:val="auto"/>
              </w:rPr>
            </w:pPr>
            <w:r>
              <w:rPr>
                <w:rFonts w:ascii="Times New Roman" w:cs="Times New Roman" w:eastAsia="Times New Roman" w:hAnsi="Times New Roman"/>
                <w:sz w:val="9"/>
                <w:szCs w:val="9"/>
                <w:b w:val="1"/>
                <w:bCs w:val="1"/>
                <w:color w:val="auto"/>
              </w:rPr>
              <w:t>shares</w:t>
            </w:r>
          </w:p>
        </w:tc>
        <w:tc>
          <w:tcPr>
            <w:tcW w:w="920" w:type="dxa"/>
            <w:vAlign w:val="bottom"/>
            <w:gridSpan w:val="2"/>
          </w:tcPr>
          <w:p>
            <w:pPr>
              <w:ind w:left="100"/>
              <w:spacing w:after="0" w:line="84" w:lineRule="exact"/>
              <w:rPr>
                <w:sz w:val="20"/>
                <w:szCs w:val="20"/>
                <w:color w:val="auto"/>
              </w:rPr>
            </w:pPr>
            <w:r>
              <w:rPr>
                <w:rFonts w:ascii="Times New Roman" w:cs="Times New Roman" w:eastAsia="Times New Roman" w:hAnsi="Times New Roman"/>
                <w:sz w:val="9"/>
                <w:szCs w:val="9"/>
                <w:b w:val="1"/>
                <w:bCs w:val="1"/>
                <w:color w:val="auto"/>
              </w:rPr>
              <w:t>comprehensi</w:t>
            </w:r>
          </w:p>
        </w:tc>
        <w:tc>
          <w:tcPr>
            <w:tcW w:w="80" w:type="dxa"/>
            <w:vAlign w:val="bottom"/>
          </w:tcPr>
          <w:p>
            <w:pPr>
              <w:spacing w:after="0"/>
              <w:rPr>
                <w:sz w:val="7"/>
                <w:szCs w:val="7"/>
                <w:color w:val="auto"/>
              </w:rPr>
            </w:pPr>
          </w:p>
        </w:tc>
        <w:tc>
          <w:tcPr>
            <w:tcW w:w="800" w:type="dxa"/>
            <w:vAlign w:val="bottom"/>
            <w:gridSpan w:val="3"/>
          </w:tcPr>
          <w:p>
            <w:pPr>
              <w:jc w:val="right"/>
              <w:ind w:right="160"/>
              <w:spacing w:after="0" w:line="84" w:lineRule="exact"/>
              <w:rPr>
                <w:sz w:val="20"/>
                <w:szCs w:val="20"/>
                <w:color w:val="auto"/>
              </w:rPr>
            </w:pPr>
            <w:r>
              <w:rPr>
                <w:rFonts w:ascii="Times New Roman" w:cs="Times New Roman" w:eastAsia="Times New Roman" w:hAnsi="Times New Roman"/>
                <w:sz w:val="9"/>
                <w:szCs w:val="9"/>
                <w:b w:val="1"/>
                <w:bCs w:val="1"/>
                <w:color w:val="auto"/>
              </w:rPr>
              <w:t>ed deficit</w:t>
            </w:r>
          </w:p>
        </w:tc>
        <w:tc>
          <w:tcPr>
            <w:tcW w:w="20" w:type="dxa"/>
            <w:vAlign w:val="bottom"/>
          </w:tcPr>
          <w:p>
            <w:pPr>
              <w:spacing w:after="0"/>
              <w:rPr>
                <w:sz w:val="7"/>
                <w:szCs w:val="7"/>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0" w:type="dxa"/>
            <w:vAlign w:val="bottom"/>
          </w:tcPr>
          <w:p>
            <w:pPr>
              <w:spacing w:after="0"/>
              <w:rPr>
                <w:sz w:val="1"/>
                <w:szCs w:val="1"/>
                <w:color w:val="auto"/>
              </w:rPr>
            </w:pPr>
          </w:p>
        </w:tc>
      </w:tr>
      <w:tr>
        <w:trPr>
          <w:trHeight w:val="109"/>
        </w:trPr>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restart"/>
          </w:tcPr>
          <w:p>
            <w:pPr>
              <w:jc w:val="right"/>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2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12,083,</w:t>
            </w:r>
          </w:p>
        </w:tc>
        <w:tc>
          <w:tcPr>
            <w:tcW w:w="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1,414,</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338,531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(6,960)</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(114,595)</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217,074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076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082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138,393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40"/>
              <w:spacing w:after="0" w:line="253"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8"/>
                <w:szCs w:val="28"/>
                <w:color w:val="auto"/>
                <w:vertAlign w:val="subscript"/>
              </w:rPr>
              <w:t>)</w:t>
            </w:r>
          </w:p>
        </w:tc>
        <w:tc>
          <w:tcPr>
            <w:tcW w:w="3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680" w:type="dxa"/>
            <w:vAlign w:val="bottom"/>
            <w:gridSpan w:val="2"/>
            <w:vMerge w:val="restart"/>
          </w:tcPr>
          <w:p>
            <w:pPr>
              <w:jc w:val="right"/>
              <w:ind w:right="20"/>
              <w:spacing w:after="0" w:line="297" w:lineRule="exact"/>
              <w:rPr>
                <w:sz w:val="20"/>
                <w:szCs w:val="20"/>
                <w:color w:val="auto"/>
              </w:rPr>
            </w:pPr>
            <w:r>
              <w:rPr>
                <w:rFonts w:ascii="Times New Roman" w:cs="Times New Roman" w:eastAsia="Times New Roman" w:hAnsi="Times New Roman"/>
                <w:sz w:val="14"/>
                <w:szCs w:val="14"/>
                <w:color w:val="auto"/>
              </w:rPr>
              <w:t>(132,15</w:t>
            </w:r>
            <w:r>
              <w:rPr>
                <w:rFonts w:ascii="Times New Roman" w:cs="Times New Roman" w:eastAsia="Times New Roman" w:hAnsi="Times New Roman"/>
                <w:sz w:val="28"/>
                <w:szCs w:val="28"/>
                <w:color w:val="auto"/>
                <w:vertAlign w:val="subscript"/>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(25,249)</w:t>
            </w:r>
          </w:p>
        </w:tc>
        <w:tc>
          <w:tcPr>
            <w:tcW w:w="18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(25,249)</w:t>
            </w:r>
          </w:p>
        </w:tc>
        <w:tc>
          <w:tcPr>
            <w:tcW w:w="0" w:type="dxa"/>
            <w:vAlign w:val="bottom"/>
          </w:tcPr>
          <w:p>
            <w:pPr>
              <w:spacing w:after="0"/>
              <w:rPr>
                <w:sz w:val="1"/>
                <w:szCs w:val="1"/>
                <w:color w:val="auto"/>
              </w:rPr>
            </w:pPr>
          </w:p>
        </w:tc>
      </w:tr>
      <w:tr>
        <w:trPr>
          <w:trHeight w:val="85"/>
        </w:trPr>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7,209</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7,209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12,189,</w:t>
            </w:r>
          </w:p>
        </w:tc>
        <w:tc>
          <w:tcPr>
            <w:tcW w:w="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1,314,</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345,768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(32,209)</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(22,523)</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291,312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314</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082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-1165225</wp:posOffset>
            </wp:positionV>
            <wp:extent cx="641223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-788035</wp:posOffset>
            </wp:positionV>
            <wp:extent cx="641223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-505460</wp:posOffset>
            </wp:positionV>
            <wp:extent cx="641223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-213995</wp:posOffset>
            </wp:positionV>
            <wp:extent cx="641223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22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140"/>
            <w:col w:w="7640"/>
          </w:cols>
          <w:pgMar w:left="900" w:top="9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Class A common stock in connection with stock plans Stock-based compensation Unrealized gain on available-for-sale securities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46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5"/>
                <w:szCs w:val="5"/>
                <w:color w:val="auto"/>
              </w:rPr>
            </w:pPr>
          </w:p>
        </w:tc>
        <w:tc>
          <w:tcPr>
            <w:tcW w:w="144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100" w:type="dxa"/>
            <w:vAlign w:val="bottom"/>
          </w:tcPr>
          <w:p>
            <w:pPr>
              <w:spacing w:after="0"/>
              <w:rPr>
                <w:sz w:val="5"/>
                <w:szCs w:val="5"/>
                <w:color w:val="auto"/>
              </w:rPr>
            </w:pPr>
          </w:p>
        </w:tc>
        <w:tc>
          <w:tcPr>
            <w:tcW w:w="128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5"/>
                <w:szCs w:val="5"/>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jc w:val="right"/>
              <w:ind w:right="361"/>
              <w:spacing w:after="0" w:line="84" w:lineRule="exact"/>
              <w:rPr>
                <w:sz w:val="20"/>
                <w:szCs w:val="20"/>
                <w:color w:val="auto"/>
              </w:rPr>
            </w:pPr>
            <w:r>
              <w:rPr>
                <w:rFonts w:ascii="Times New Roman" w:cs="Times New Roman" w:eastAsia="Times New Roman" w:hAnsi="Times New Roman"/>
                <w:sz w:val="9"/>
                <w:szCs w:val="9"/>
                <w:b w:val="1"/>
                <w:bCs w:val="1"/>
                <w:color w:val="auto"/>
              </w:rPr>
              <w:t>capital</w:t>
            </w:r>
          </w:p>
        </w:tc>
        <w:tc>
          <w:tcPr>
            <w:tcW w:w="10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80" w:type="dxa"/>
            <w:vAlign w:val="bottom"/>
          </w:tcPr>
          <w:p>
            <w:pPr>
              <w:spacing w:after="0"/>
              <w:rPr>
                <w:sz w:val="7"/>
                <w:szCs w:val="7"/>
                <w:color w:val="auto"/>
              </w:rPr>
            </w:pPr>
          </w:p>
        </w:tc>
        <w:tc>
          <w:tcPr>
            <w:tcW w:w="1040" w:type="dxa"/>
            <w:vAlign w:val="bottom"/>
            <w:gridSpan w:val="2"/>
          </w:tcPr>
          <w:p>
            <w:pPr>
              <w:jc w:val="right"/>
              <w:ind w:right="320"/>
              <w:spacing w:after="0" w:line="84" w:lineRule="exact"/>
              <w:rPr>
                <w:sz w:val="20"/>
                <w:szCs w:val="20"/>
                <w:color w:val="auto"/>
              </w:rPr>
            </w:pPr>
            <w:r>
              <w:rPr>
                <w:rFonts w:ascii="Times New Roman" w:cs="Times New Roman" w:eastAsia="Times New Roman" w:hAnsi="Times New Roman"/>
                <w:sz w:val="9"/>
                <w:szCs w:val="9"/>
                <w:b w:val="1"/>
                <w:bCs w:val="1"/>
                <w:color w:val="auto"/>
              </w:rPr>
              <w:t>deficit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 equity</w:t>
            </w: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700" w:type="dxa"/>
            <w:vAlign w:val="bottom"/>
            <w:tcBorders>
              <w:bottom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11,099,72</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1,514,0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311,400</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11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(169,719)</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141,757</w:t>
            </w:r>
          </w:p>
        </w:tc>
        <w:tc>
          <w:tcPr>
            <w:tcW w:w="0" w:type="dxa"/>
            <w:vAlign w:val="bottom"/>
          </w:tcPr>
          <w:p>
            <w:pPr>
              <w:spacing w:after="0"/>
              <w:rPr>
                <w:sz w:val="1"/>
                <w:szCs w:val="1"/>
                <w:color w:val="auto"/>
              </w:rPr>
            </w:pPr>
          </w:p>
        </w:tc>
      </w:tr>
      <w:tr>
        <w:trPr>
          <w:trHeight w:val="109"/>
        </w:trPr>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760" w:type="dxa"/>
            <w:vAlign w:val="bottom"/>
            <w:gridSpan w:val="2"/>
            <w:vMerge w:val="continue"/>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74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93,048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color w:val="auto"/>
              </w:rPr>
              <w:t>62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0" w:type="dxa"/>
            <w:vAlign w:val="bottom"/>
          </w:tcPr>
          <w:p>
            <w:pPr>
              <w:spacing w:after="0"/>
              <w:rPr>
                <w:sz w:val="1"/>
                <w:szCs w:val="1"/>
                <w:color w:val="auto"/>
              </w:rPr>
            </w:pPr>
          </w:p>
        </w:tc>
      </w:tr>
      <w:tr>
        <w:trPr>
          <w:trHeight w:val="229"/>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color w:val="auto"/>
              </w:rPr>
              <w:t>13,359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13,359</w:t>
            </w:r>
          </w:p>
        </w:tc>
        <w:tc>
          <w:tcPr>
            <w:tcW w:w="0" w:type="dxa"/>
            <w:vAlign w:val="bottom"/>
          </w:tcPr>
          <w:p>
            <w:pPr>
              <w:spacing w:after="0"/>
              <w:rPr>
                <w:sz w:val="1"/>
                <w:szCs w:val="1"/>
                <w:color w:val="auto"/>
              </w:rPr>
            </w:pPr>
          </w:p>
        </w:tc>
      </w:tr>
      <w:tr>
        <w:trPr>
          <w:trHeight w:val="21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-619125</wp:posOffset>
            </wp:positionV>
            <wp:extent cx="641223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-241935</wp:posOffset>
            </wp:positionV>
            <wp:extent cx="641223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2160" w:space="480"/>
            <w:col w:w="7460"/>
          </w:cols>
          <w:pgMar w:left="900" w:top="979" w:right="8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4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300" w:type="dxa"/>
            <w:vAlign w:val="bottom"/>
            <w:tcBorders>
              <w:bottom w:val="single" w:sz="8" w:color="auto"/>
            </w:tcBorders>
            <w:shd w:val="clear" w:color="auto" w:fill="B7DEE8"/>
          </w:tcPr>
          <w:p>
            <w:pPr>
              <w:spacing w:after="0"/>
              <w:rPr>
                <w:sz w:val="13"/>
                <w:szCs w:val="13"/>
                <w:color w:val="auto"/>
              </w:rPr>
            </w:pPr>
          </w:p>
        </w:tc>
        <w:tc>
          <w:tcPr>
            <w:tcW w:w="3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7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320" w:type="dxa"/>
            <w:vAlign w:val="bottom"/>
            <w:tcBorders>
              <w:bottom w:val="single" w:sz="8" w:color="auto"/>
            </w:tcBorders>
            <w:shd w:val="clear" w:color="auto" w:fill="B7DEE8"/>
          </w:tcPr>
          <w:p>
            <w:pPr>
              <w:spacing w:after="0"/>
              <w:rPr>
                <w:sz w:val="13"/>
                <w:szCs w:val="13"/>
                <w:color w:val="auto"/>
              </w:rPr>
            </w:pPr>
          </w:p>
        </w:tc>
        <w:tc>
          <w:tcPr>
            <w:tcW w:w="3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300" w:type="dxa"/>
            <w:vAlign w:val="bottom"/>
            <w:tcBorders>
              <w:bottom w:val="single" w:sz="8" w:color="auto"/>
            </w:tcBorders>
            <w:shd w:val="clear" w:color="auto" w:fill="B7DEE8"/>
          </w:tcPr>
          <w:p>
            <w:pPr>
              <w:spacing w:after="0"/>
              <w:rPr>
                <w:sz w:val="13"/>
                <w:szCs w:val="13"/>
                <w:color w:val="auto"/>
              </w:rPr>
            </w:pPr>
          </w:p>
        </w:tc>
        <w:tc>
          <w:tcPr>
            <w:tcW w:w="7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640" w:type="dxa"/>
            <w:vAlign w:val="bottom"/>
            <w:tcBorders>
              <w:bottom w:val="single" w:sz="8" w:color="auto"/>
            </w:tcBorders>
            <w:shd w:val="clear" w:color="auto" w:fill="B7DEE8"/>
          </w:tcPr>
          <w:p>
            <w:pPr>
              <w:spacing w:after="0"/>
              <w:rPr>
                <w:sz w:val="13"/>
                <w:szCs w:val="13"/>
                <w:color w:val="auto"/>
              </w:rPr>
            </w:pPr>
          </w:p>
        </w:tc>
        <w:tc>
          <w:tcPr>
            <w:tcW w:w="6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B7DEE8"/>
            </w:tcBorders>
            <w:shd w:val="clear" w:color="auto" w:fill="B7DEE8"/>
          </w:tcPr>
          <w:p>
            <w:pPr>
              <w:spacing w:after="0"/>
              <w:rPr>
                <w:sz w:val="13"/>
                <w:szCs w:val="13"/>
                <w:color w:val="auto"/>
              </w:rPr>
            </w:pPr>
          </w:p>
        </w:tc>
        <w:tc>
          <w:tcPr>
            <w:tcW w:w="300" w:type="dxa"/>
            <w:vAlign w:val="bottom"/>
            <w:tcBorders>
              <w:bottom w:val="single" w:sz="8" w:color="auto"/>
            </w:tcBorders>
            <w:shd w:val="clear" w:color="auto" w:fill="B7DEE8"/>
          </w:tcPr>
          <w:p>
            <w:pPr>
              <w:spacing w:after="0"/>
              <w:rPr>
                <w:sz w:val="13"/>
                <w:szCs w:val="13"/>
                <w:color w:val="auto"/>
              </w:rPr>
            </w:pPr>
          </w:p>
        </w:tc>
        <w:tc>
          <w:tcPr>
            <w:tcW w:w="6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Borders>
              <w:bottom w:val="single" w:sz="8" w:color="B7DEE8"/>
            </w:tcBorders>
            <w:shd w:val="clear" w:color="auto" w:fill="B7DEE8"/>
          </w:tcPr>
          <w:p>
            <w:pPr>
              <w:spacing w:after="0"/>
              <w:rPr>
                <w:sz w:val="13"/>
                <w:szCs w:val="13"/>
                <w:color w:val="auto"/>
              </w:rPr>
            </w:pPr>
          </w:p>
        </w:tc>
        <w:tc>
          <w:tcPr>
            <w:tcW w:w="180" w:type="dxa"/>
            <w:vAlign w:val="bottom"/>
            <w:tcBorders>
              <w:bottom w:val="single" w:sz="8" w:color="auto"/>
            </w:tcBorders>
            <w:shd w:val="clear" w:color="auto" w:fill="B7DEE8"/>
          </w:tcPr>
          <w:p>
            <w:pPr>
              <w:spacing w:after="0"/>
              <w:rPr>
                <w:sz w:val="13"/>
                <w:szCs w:val="13"/>
                <w:color w:val="auto"/>
              </w:rPr>
            </w:pPr>
          </w:p>
        </w:tc>
        <w:tc>
          <w:tcPr>
            <w:tcW w:w="6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466</w:t>
            </w:r>
          </w:p>
        </w:tc>
        <w:tc>
          <w:tcPr>
            <w:tcW w:w="100" w:type="dxa"/>
            <w:vAlign w:val="bottom"/>
            <w:tcBorders>
              <w:bottom w:val="single" w:sz="8" w:color="B7DEE8"/>
            </w:tcBorders>
            <w:shd w:val="clear" w:color="auto" w:fill="B7DEE8"/>
          </w:tcPr>
          <w:p>
            <w:pPr>
              <w:spacing w:after="0"/>
              <w:rPr>
                <w:sz w:val="13"/>
                <w:szCs w:val="13"/>
                <w:color w:val="auto"/>
              </w:rPr>
            </w:pPr>
          </w:p>
        </w:tc>
      </w:tr>
      <w:tr>
        <w:trPr>
          <w:trHeight w:val="210"/>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11,192,77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1,514,0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324,821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(169,253)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155,815</w:t>
            </w:r>
          </w:p>
        </w:tc>
        <w:tc>
          <w:tcPr>
            <w:tcW w:w="100" w:type="dxa"/>
            <w:vAlign w:val="bottom"/>
          </w:tcPr>
          <w:p>
            <w:pPr>
              <w:spacing w:after="0"/>
              <w:rPr>
                <w:sz w:val="18"/>
                <w:szCs w:val="18"/>
                <w:color w:val="auto"/>
              </w:rPr>
            </w:pPr>
          </w:p>
        </w:tc>
      </w:tr>
      <w:tr>
        <w:trPr>
          <w:trHeight w:val="81"/>
        </w:trPr>
        <w:tc>
          <w:tcPr>
            <w:tcW w:w="2640" w:type="dxa"/>
            <w:vAlign w:val="bottom"/>
          </w:tcPr>
          <w:p>
            <w:pPr>
              <w:spacing w:after="0"/>
              <w:rPr>
                <w:sz w:val="7"/>
                <w:szCs w:val="7"/>
                <w:color w:val="auto"/>
              </w:rPr>
            </w:pPr>
          </w:p>
        </w:tc>
        <w:tc>
          <w:tcPr>
            <w:tcW w:w="70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5</w:t>
            </w: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82</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-222250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-222250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-222250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-222250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-222250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-222250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-222250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-222250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733425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79" w:right="89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129,924</w:t>
            </w:r>
          </w:p>
        </w:tc>
        <w:tc>
          <w:tcPr>
            <w:tcW w:w="160" w:type="dxa"/>
            <w:vAlign w:val="bottom"/>
            <w:shd w:val="clear" w:color="auto" w:fill="B7DEE8"/>
          </w:tcPr>
          <w:p>
            <w:pPr>
              <w:spacing w:after="0"/>
              <w:rPr>
                <w:sz w:val="18"/>
                <w:szCs w:val="18"/>
                <w:color w:val="auto"/>
              </w:rPr>
            </w:pPr>
          </w:p>
        </w:tc>
        <w:tc>
          <w:tcPr>
            <w:tcW w:w="400" w:type="dxa"/>
            <w:vAlign w:val="bottom"/>
            <w:gridSpan w:val="2"/>
            <w:shd w:val="clear" w:color="auto" w:fill="B7DE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(33,442)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(30,277)</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fair value of marketable securities and investments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ExtraCash receivables, service based revenue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Prepaid income taxes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Legal settlement accrual</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20" w:type="dxa"/>
            <w:vAlign w:val="bottom"/>
            <w:tcBorders>
              <w:bottom w:val="single" w:sz="8" w:color="B7DEE8"/>
            </w:tcBorders>
            <w:shd w:val="clear" w:color="auto" w:fill="B7DEE8"/>
          </w:tcPr>
          <w:p>
            <w:pPr>
              <w:spacing w:after="0"/>
              <w:rPr>
                <w:sz w:val="18"/>
                <w:szCs w:val="18"/>
                <w:color w:val="auto"/>
              </w:rPr>
            </w:pPr>
          </w:p>
        </w:tc>
        <w:tc>
          <w:tcPr>
            <w:tcW w:w="180" w:type="dxa"/>
            <w:vAlign w:val="bottom"/>
            <w:tcBorders>
              <w:top w:val="single" w:sz="8" w:color="auto"/>
              <w:bottom w:val="single" w:sz="8" w:color="auto"/>
            </w:tcBorders>
            <w:shd w:val="clear" w:color="auto" w:fill="B7DEE8"/>
          </w:tcPr>
          <w:p>
            <w:pPr>
              <w:spacing w:after="0"/>
              <w:rPr>
                <w:sz w:val="18"/>
                <w:szCs w:val="18"/>
                <w:color w:val="auto"/>
              </w:rPr>
            </w:pPr>
          </w:p>
        </w:tc>
        <w:tc>
          <w:tcPr>
            <w:tcW w:w="96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196,731</w:t>
            </w:r>
          </w:p>
        </w:tc>
        <w:tc>
          <w:tcPr>
            <w:tcW w:w="16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B7DEE8"/>
            </w:tcBorders>
            <w:shd w:val="clear" w:color="auto" w:fill="B7DEE8"/>
          </w:tcPr>
          <w:p>
            <w:pPr>
              <w:spacing w:after="0"/>
              <w:rPr>
                <w:sz w:val="18"/>
                <w:szCs w:val="18"/>
                <w:color w:val="auto"/>
              </w:rPr>
            </w:pPr>
          </w:p>
        </w:tc>
        <w:tc>
          <w:tcPr>
            <w:tcW w:w="300" w:type="dxa"/>
            <w:vAlign w:val="bottom"/>
            <w:tcBorders>
              <w:top w:val="single" w:sz="8" w:color="auto"/>
              <w:bottom w:val="single" w:sz="8" w:color="auto"/>
            </w:tcBorders>
            <w:shd w:val="clear" w:color="auto" w:fill="B7DEE8"/>
          </w:tcPr>
          <w:p>
            <w:pPr>
              <w:spacing w:after="0"/>
              <w:rPr>
                <w:sz w:val="18"/>
                <w:szCs w:val="18"/>
                <w:color w:val="auto"/>
              </w:rPr>
            </w:pPr>
          </w:p>
        </w:tc>
        <w:tc>
          <w:tcPr>
            <w:tcW w:w="108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83,423</w:t>
            </w:r>
          </w:p>
        </w:tc>
        <w:tc>
          <w:tcPr>
            <w:tcW w:w="100" w:type="dxa"/>
            <w:vAlign w:val="bottom"/>
            <w:tcBorders>
              <w:bottom w:val="single" w:sz="8" w:color="B7DEE8"/>
            </w:tcBorders>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for internally developed software costs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originations, purchases and collections of ExtraCash receivables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Purchase of investments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(169,732)</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(74,815)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and maturity of investments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(59,273)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(151,919)</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(19,028)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tcBorders>
              <w:top w:val="single" w:sz="8" w:color="B7DEE8"/>
            </w:tcBorders>
          </w:tcPr>
          <w:p>
            <w:pPr>
              <w:spacing w:after="0"/>
              <w:rPr>
                <w:sz w:val="18"/>
                <w:szCs w:val="18"/>
                <w:color w:val="auto"/>
              </w:rPr>
            </w:pPr>
          </w:p>
        </w:tc>
        <w:tc>
          <w:tcPr>
            <w:tcW w:w="520" w:type="dxa"/>
            <w:vAlign w:val="bottom"/>
            <w:tcBorders>
              <w:top w:val="single" w:sz="8" w:color="B7DE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B7DEE8"/>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for stock option exercises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taxes for shares withheld related to net share settlement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Payment of costs for extinguishment of convertible debt</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(761)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borrowings on convertible debt, long-term</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(44,459)</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(70,868)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tcBorders>
              <w:top w:val="single" w:sz="8" w:color="B7DEE8"/>
            </w:tcBorders>
          </w:tcPr>
          <w:p>
            <w:pPr>
              <w:spacing w:after="0"/>
              <w:rPr>
                <w:sz w:val="18"/>
                <w:szCs w:val="18"/>
                <w:color w:val="auto"/>
              </w:rPr>
            </w:pPr>
          </w:p>
        </w:tc>
        <w:tc>
          <w:tcPr>
            <w:tcW w:w="520" w:type="dxa"/>
            <w:vAlign w:val="bottom"/>
            <w:tcBorders>
              <w:top w:val="single" w:sz="8" w:color="B7DE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B7DEE8"/>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52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(6,473)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the period</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the period</w:t>
            </w:r>
          </w:p>
        </w:tc>
        <w:tc>
          <w:tcPr>
            <w:tcW w:w="70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51,730</w:t>
            </w:r>
          </w:p>
        </w:tc>
        <w:tc>
          <w:tcPr>
            <w:tcW w:w="160" w:type="dxa"/>
            <w:vAlign w:val="bottom"/>
            <w:shd w:val="clear" w:color="auto" w:fill="B7DEE8"/>
          </w:tcPr>
          <w:p>
            <w:pPr>
              <w:spacing w:after="0"/>
              <w:rPr>
                <w:sz w:val="21"/>
                <w:szCs w:val="21"/>
                <w:color w:val="auto"/>
              </w:rPr>
            </w:pPr>
          </w:p>
        </w:tc>
        <w:tc>
          <w:tcPr>
            <w:tcW w:w="400" w:type="dxa"/>
            <w:vAlign w:val="bottom"/>
            <w:gridSpan w:val="2"/>
            <w:shd w:val="clear" w:color="auto" w:fill="B7DEE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36,605</w:t>
            </w: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1"/>
        </w:trPr>
        <w:tc>
          <w:tcPr>
            <w:tcW w:w="580" w:type="dxa"/>
            <w:vAlign w:val="bottom"/>
            <w:tcBorders>
              <w:bottom w:val="single" w:sz="8" w:color="9A9A9A"/>
            </w:tcBorders>
          </w:tcPr>
          <w:p>
            <w:pPr>
              <w:spacing w:after="0"/>
              <w:rPr>
                <w:sz w:val="24"/>
                <w:szCs w:val="24"/>
                <w:color w:val="auto"/>
              </w:rPr>
            </w:pPr>
          </w:p>
        </w:tc>
        <w:tc>
          <w:tcPr>
            <w:tcW w:w="6700" w:type="dxa"/>
            <w:vAlign w:val="bottom"/>
            <w:tcBorders>
              <w:top w:val="single" w:sz="8" w:color="B7DEE8"/>
              <w:bottom w:val="single" w:sz="8" w:color="9A9A9A"/>
            </w:tcBorders>
          </w:tcPr>
          <w:p>
            <w:pPr>
              <w:spacing w:after="0"/>
              <w:rPr>
                <w:sz w:val="24"/>
                <w:szCs w:val="24"/>
                <w:color w:val="auto"/>
              </w:rPr>
            </w:pPr>
          </w:p>
        </w:tc>
        <w:tc>
          <w:tcPr>
            <w:tcW w:w="520" w:type="dxa"/>
            <w:vAlign w:val="bottom"/>
            <w:tcBorders>
              <w:top w:val="single" w:sz="8" w:color="B7DEE8"/>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B7DEE8"/>
              <w:bottom w:val="single" w:sz="8" w:color="9A9A9A"/>
            </w:tcBorders>
          </w:tcPr>
          <w:p>
            <w:pPr>
              <w:spacing w:after="0"/>
              <w:rPr>
                <w:sz w:val="24"/>
                <w:szCs w:val="24"/>
                <w:color w:val="auto"/>
              </w:rPr>
            </w:pPr>
          </w:p>
        </w:tc>
        <w:tc>
          <w:tcPr>
            <w:tcW w:w="100" w:type="dxa"/>
            <w:vAlign w:val="bottom"/>
            <w:tcBorders>
              <w:top w:val="single" w:sz="8" w:color="B7DEE8"/>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B7DEE8"/>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-3977005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-3977005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-2588260</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-2588260</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-1473835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-1473835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-908050</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-890905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60" w:type="dxa"/>
            <w:vAlign w:val="bottom"/>
            <w:shd w:val="clear" w:color="auto" w:fill="B7DEE8"/>
          </w:tcPr>
          <w:p>
            <w:pPr>
              <w:spacing w:after="0"/>
              <w:rPr>
                <w:sz w:val="18"/>
                <w:szCs w:val="18"/>
                <w:color w:val="auto"/>
              </w:rPr>
            </w:pPr>
          </w:p>
        </w:tc>
        <w:tc>
          <w:tcPr>
            <w:tcW w:w="7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480" w:type="dxa"/>
            <w:vAlign w:val="bottom"/>
            <w:shd w:val="clear" w:color="auto" w:fill="B7DEE8"/>
          </w:tcPr>
          <w:p>
            <w:pPr>
              <w:spacing w:after="0"/>
              <w:rPr>
                <w:sz w:val="18"/>
                <w:szCs w:val="18"/>
                <w:color w:val="auto"/>
              </w:rPr>
            </w:pPr>
          </w:p>
        </w:tc>
        <w:tc>
          <w:tcPr>
            <w:tcW w:w="9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and equipment purchases in accounts payable and accrued liabilities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722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8"/>
                <w:szCs w:val="18"/>
                <w:color w:val="auto"/>
              </w:rPr>
              <w:t>Accrued excise taxes for repurchases of Class A common stock</w:t>
            </w:r>
          </w:p>
        </w:tc>
        <w:tc>
          <w:tcPr>
            <w:tcW w:w="360" w:type="dxa"/>
            <w:vAlign w:val="bottom"/>
            <w:shd w:val="clear" w:color="auto" w:fill="B7DEE8"/>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74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 for:</w:t>
            </w:r>
          </w:p>
        </w:tc>
        <w:tc>
          <w:tcPr>
            <w:tcW w:w="360" w:type="dxa"/>
            <w:vAlign w:val="bottom"/>
            <w:shd w:val="clear" w:color="auto" w:fill="B7DEE8"/>
          </w:tcPr>
          <w:p>
            <w:pPr>
              <w:spacing w:after="0"/>
              <w:rPr>
                <w:sz w:val="18"/>
                <w:szCs w:val="18"/>
                <w:color w:val="auto"/>
              </w:rPr>
            </w:pPr>
          </w:p>
        </w:tc>
        <w:tc>
          <w:tcPr>
            <w:tcW w:w="7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480" w:type="dxa"/>
            <w:vAlign w:val="bottom"/>
            <w:shd w:val="clear" w:color="auto" w:fill="B7DEE8"/>
          </w:tcPr>
          <w:p>
            <w:pPr>
              <w:spacing w:after="0"/>
              <w:rPr>
                <w:sz w:val="18"/>
                <w:szCs w:val="18"/>
                <w:color w:val="auto"/>
              </w:rPr>
            </w:pPr>
          </w:p>
        </w:tc>
        <w:tc>
          <w:tcPr>
            <w:tcW w:w="9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16"/>
        </w:trPr>
        <w:tc>
          <w:tcPr>
            <w:tcW w:w="722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B7DEE8"/>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74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B7DEE8"/>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220" w:type="dxa"/>
            <w:vAlign w:val="bottom"/>
            <w:shd w:val="clear" w:color="auto" w:fill="B7DEE8"/>
          </w:tcPr>
          <w:p>
            <w:pPr>
              <w:spacing w:after="0" w:line="198" w:lineRule="exact"/>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w:t>
            </w:r>
          </w:p>
        </w:tc>
        <w:tc>
          <w:tcPr>
            <w:tcW w:w="360" w:type="dxa"/>
            <w:vAlign w:val="bottom"/>
            <w:shd w:val="clear" w:color="auto" w:fill="B7DEE8"/>
          </w:tcPr>
          <w:p>
            <w:pPr>
              <w:spacing w:after="0"/>
              <w:rPr>
                <w:sz w:val="17"/>
                <w:szCs w:val="17"/>
                <w:color w:val="auto"/>
              </w:rPr>
            </w:pPr>
          </w:p>
        </w:tc>
        <w:tc>
          <w:tcPr>
            <w:tcW w:w="780" w:type="dxa"/>
            <w:vAlign w:val="bottom"/>
            <w:shd w:val="clear" w:color="auto" w:fill="B7DEE8"/>
          </w:tcPr>
          <w:p>
            <w:pPr>
              <w:spacing w:after="0"/>
              <w:rPr>
                <w:sz w:val="17"/>
                <w:szCs w:val="17"/>
                <w:color w:val="auto"/>
              </w:rPr>
            </w:pPr>
          </w:p>
        </w:tc>
        <w:tc>
          <w:tcPr>
            <w:tcW w:w="260" w:type="dxa"/>
            <w:vAlign w:val="bottom"/>
            <w:shd w:val="clear" w:color="auto" w:fill="B7DEE8"/>
          </w:tcPr>
          <w:p>
            <w:pPr>
              <w:spacing w:after="0"/>
              <w:rPr>
                <w:sz w:val="17"/>
                <w:szCs w:val="17"/>
                <w:color w:val="auto"/>
              </w:rPr>
            </w:pPr>
          </w:p>
        </w:tc>
        <w:tc>
          <w:tcPr>
            <w:tcW w:w="480" w:type="dxa"/>
            <w:vAlign w:val="bottom"/>
            <w:shd w:val="clear" w:color="auto" w:fill="B7DEE8"/>
          </w:tcPr>
          <w:p>
            <w:pPr>
              <w:spacing w:after="0"/>
              <w:rPr>
                <w:sz w:val="17"/>
                <w:szCs w:val="17"/>
                <w:color w:val="auto"/>
              </w:rPr>
            </w:pPr>
          </w:p>
        </w:tc>
        <w:tc>
          <w:tcPr>
            <w:tcW w:w="90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16"/>
        </w:trPr>
        <w:tc>
          <w:tcPr>
            <w:tcW w:w="72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reported within the condensed consolidated balance sheets with the same as shown in the</w:t>
            </w:r>
          </w:p>
        </w:tc>
        <w:tc>
          <w:tcPr>
            <w:tcW w:w="360" w:type="dxa"/>
            <w:vAlign w:val="bottom"/>
            <w:shd w:val="clear" w:color="auto" w:fill="B7DEE8"/>
          </w:tcPr>
          <w:p>
            <w:pPr>
              <w:spacing w:after="0"/>
              <w:rPr>
                <w:sz w:val="18"/>
                <w:szCs w:val="18"/>
                <w:color w:val="auto"/>
              </w:rPr>
            </w:pPr>
          </w:p>
        </w:tc>
        <w:tc>
          <w:tcPr>
            <w:tcW w:w="7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480" w:type="dxa"/>
            <w:vAlign w:val="bottom"/>
            <w:shd w:val="clear" w:color="auto" w:fill="B7DEE8"/>
          </w:tcPr>
          <w:p>
            <w:pPr>
              <w:spacing w:after="0"/>
              <w:rPr>
                <w:sz w:val="18"/>
                <w:szCs w:val="18"/>
                <w:color w:val="auto"/>
              </w:rPr>
            </w:pPr>
          </w:p>
        </w:tc>
        <w:tc>
          <w:tcPr>
            <w:tcW w:w="9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34"/>
        </w:trPr>
        <w:tc>
          <w:tcPr>
            <w:tcW w:w="72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360" w:type="dxa"/>
            <w:vAlign w:val="bottom"/>
            <w:shd w:val="clear" w:color="auto" w:fill="B7DEE8"/>
          </w:tcPr>
          <w:p>
            <w:pPr>
              <w:spacing w:after="0"/>
              <w:rPr>
                <w:sz w:val="20"/>
                <w:szCs w:val="20"/>
                <w:color w:val="auto"/>
              </w:rPr>
            </w:pPr>
          </w:p>
        </w:tc>
        <w:tc>
          <w:tcPr>
            <w:tcW w:w="780" w:type="dxa"/>
            <w:vAlign w:val="bottom"/>
            <w:shd w:val="clear" w:color="auto" w:fill="B7DEE8"/>
          </w:tcPr>
          <w:p>
            <w:pPr>
              <w:spacing w:after="0"/>
              <w:rPr>
                <w:sz w:val="20"/>
                <w:szCs w:val="20"/>
                <w:color w:val="auto"/>
              </w:rPr>
            </w:pPr>
          </w:p>
        </w:tc>
        <w:tc>
          <w:tcPr>
            <w:tcW w:w="260" w:type="dxa"/>
            <w:vAlign w:val="bottom"/>
            <w:shd w:val="clear" w:color="auto" w:fill="B7DEE8"/>
          </w:tcPr>
          <w:p>
            <w:pPr>
              <w:spacing w:after="0"/>
              <w:rPr>
                <w:sz w:val="20"/>
                <w:szCs w:val="20"/>
                <w:color w:val="auto"/>
              </w:rPr>
            </w:pPr>
          </w:p>
        </w:tc>
        <w:tc>
          <w:tcPr>
            <w:tcW w:w="480" w:type="dxa"/>
            <w:vAlign w:val="bottom"/>
            <w:shd w:val="clear" w:color="auto" w:fill="B7DEE8"/>
          </w:tcPr>
          <w:p>
            <w:pPr>
              <w:spacing w:after="0"/>
              <w:rPr>
                <w:sz w:val="20"/>
                <w:szCs w:val="20"/>
                <w:color w:val="auto"/>
              </w:rPr>
            </w:pPr>
          </w:p>
        </w:tc>
        <w:tc>
          <w:tcPr>
            <w:tcW w:w="9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49,889</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100" w:type="dxa"/>
            <w:vAlign w:val="bottom"/>
          </w:tcPr>
          <w:p>
            <w:pPr>
              <w:spacing w:after="0"/>
              <w:rPr>
                <w:sz w:val="18"/>
                <w:szCs w:val="18"/>
                <w:color w:val="auto"/>
              </w:rPr>
            </w:pPr>
          </w:p>
        </w:tc>
      </w:tr>
      <w:tr>
        <w:trPr>
          <w:trHeight w:val="216"/>
        </w:trPr>
        <w:tc>
          <w:tcPr>
            <w:tcW w:w="722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B7DEE8"/>
          </w:tcPr>
          <w:p>
            <w:pPr>
              <w:spacing w:after="0"/>
              <w:rPr>
                <w:sz w:val="18"/>
                <w:szCs w:val="18"/>
                <w:color w:val="auto"/>
              </w:rPr>
            </w:pPr>
          </w:p>
        </w:tc>
        <w:tc>
          <w:tcPr>
            <w:tcW w:w="7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60" w:type="dxa"/>
            <w:vAlign w:val="bottom"/>
            <w:tcBorders>
              <w:bottom w:val="single" w:sz="8" w:color="B7DEE8"/>
            </w:tcBorders>
            <w:shd w:val="clear" w:color="auto" w:fill="B7DEE8"/>
          </w:tcPr>
          <w:p>
            <w:pPr>
              <w:spacing w:after="0"/>
              <w:rPr>
                <w:sz w:val="18"/>
                <w:szCs w:val="18"/>
                <w:color w:val="auto"/>
              </w:rPr>
            </w:pPr>
          </w:p>
        </w:tc>
        <w:tc>
          <w:tcPr>
            <w:tcW w:w="480" w:type="dxa"/>
            <w:vAlign w:val="bottom"/>
            <w:tcBorders>
              <w:bottom w:val="single" w:sz="8" w:color="auto"/>
            </w:tcBorders>
            <w:shd w:val="clear" w:color="auto" w:fill="B7DEE8"/>
          </w:tcPr>
          <w:p>
            <w:pPr>
              <w:spacing w:after="0"/>
              <w:rPr>
                <w:sz w:val="18"/>
                <w:szCs w:val="18"/>
                <w:color w:val="auto"/>
              </w:rPr>
            </w:pPr>
          </w:p>
        </w:tc>
        <w:tc>
          <w:tcPr>
            <w:tcW w:w="9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B7DEE8"/>
            </w:tcBorders>
            <w:shd w:val="clear" w:color="auto" w:fill="B7DEE8"/>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end of the period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51,730</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36,605</w:t>
            </w:r>
          </w:p>
        </w:tc>
        <w:tc>
          <w:tcPr>
            <w:tcW w:w="10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736600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4" w:right="8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Dave Inc. (the "Company") was launched in 2017 to provide a faster, more transparent, and lower-cost alternative to traditional financial institutions, particularly for those living paycheck to paycheck. Inspired by the story of David vs. Goliath, the Company set out to challenge legacy banking by leveraging technology to expand financial access and improve consumer financial health. Through its fully integrated, mobile-first platform, the Company delivers innovative financial products designed to help underserved consumers manage their money more effectively. The Company's mission is to level the financial playing field by providing intuitive, transparent, and accessible solutions that empower its Members to navigate life’s financial challenges with confidence.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ExtraCash:</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ExtraCash is an overdraft product offered through the Company's bank partners that provides Members with up to $500 of credit to bridge liquidity gaps between paychecks. Using its proprietary AI-powered underwriting system, CashAI, the Company analyzes a Member’s checking account transaction data to determine eligibility and set the credit approval amount. This fully automated process requires no credit check and does not rely on FICO or credit bureau data. Once an ExtraCash transaction is initiated, repayment is scheduled based on the Member’s forecasted next paycheck or deposit date.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designs and manages the complete risk management value chain—including underwriting, fraud and risk mitigation, payment processing, servicing, and collections. Each ExtraCash transaction is underwritten by CashAI when a Member accesses the Dave App, enabling near real-time evaluation of transaction data. This approach determines the optimal amount a Member can responsibly repay, delivering benefits for both the Member and the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Checking:</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Dave Checking is a digital demand deposit account offered through its bank partners with premium features, no account minimums or corresponding fees, and Federal Deposit Insurance Corporation ("FDIC") pass-through insurance. Members can open a Dave Checking account in minutes through the Dave mobile application, add funds to their account, and begin spending using a Dave Checking virtual debit card. Dave Checking accounts also include a physical Dave branded debit Mastercard (“Dave Card”) that can be used for everyday purchases and spending transactions as well as at any of the approximately 40,000 MoneyPass ATM network locations to make no-fee withdrawals at these in-network ATMs.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Dave Checking revenues are primarily driven by merchant interchange, incentives from Mastercard, interest on deposits paid by our partner bank, and other ancillary fees paid by customers (e.g., out of network ATM fees, instant withdrawal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Financial Management:</w:t>
      </w:r>
    </w:p>
    <w:p>
      <w:pPr>
        <w:spacing w:after="0" w:line="1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Budget: The Budget tool utilizes historical bank account data to identify recurring and common charges, enabling Members to anticipate upcoming transactions that may affect their account balances. It also provides timely notifications when there is a risk of an overdraft.</w:t>
      </w:r>
    </w:p>
    <w:p>
      <w:pPr>
        <w:spacing w:after="0" w:line="162"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Side Hustle: Side Hustle is a streamlined job application portal for Dave Members to find supplemental or temporary work. The portal focuses on “gig economy,” part-time, seasonal, remote and other flexible types of employment opportunities. Members can apply to dozens of jobs in-app using saved information and credentials. A side hustle can be an important part of a Member’s long-term financial health, as it allows Members to quickly address unexpected expenses or cash needs with incremental income.</w:t>
      </w:r>
    </w:p>
    <w:p>
      <w:pPr>
        <w:spacing w:after="0" w:line="180"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Surveys: The Company's Surveys product allows for additional earning opportunities, allowing Members to take paid surveys anytime within the Dave mobile application. This functionality drives engagement within the Dave ecosystem and deepens its relationship to its Members’ financial wellbeing.</w:t>
      </w:r>
    </w:p>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generates monthly subscription revenue from Members enrolled in the Company's Personal Financial Management and other subscription-based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accounting principles generally accepted in the United States of America (“U.S. GAAP”).</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revised the presentation of certain items within its condensed consolidated statement of operations. Certain prior period amounts have been reclassified to conform to the current period presentation. These changes have been applied retrospectively to all periods presented and did not impact previously reported net income or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44" w:lineRule="exact"/>
        <w:rPr>
          <w:sz w:val="20"/>
          <w:szCs w:val="20"/>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network and transaction costs now appear as a separate line item within operating expenses (formerly included in other operating expenses).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 is now presented as advertising and activation under operating expenses and includes Member activation costs (activation costs were formerly included in processing and servicing costs and other operating expenses).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infrastructure costs now appear as a separate line item within operating expenses (formerly included in other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 variable interest entity (“VIE”). All intercompany transactions and balances have been eliminated upon consolidation.</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condensed consolidated balance sheets. The assets of Dave OD are restricted and may only be used to settle obligations of Dave 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spacing w:after="0" w:line="79" w:lineRule="exact"/>
        <w:rPr>
          <w:sz w:val="20"/>
          <w:szCs w:val="20"/>
          <w:color w:val="auto"/>
        </w:rPr>
      </w:pPr>
    </w:p>
    <w:p>
      <w:pPr>
        <w:ind w:left="740" w:hanging="223"/>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detail of operating revenues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Processing and overdraft service fees, net</w:t>
            </w:r>
          </w:p>
        </w:tc>
        <w:tc>
          <w:tcPr>
            <w:tcW w:w="8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129,195</w:t>
            </w:r>
          </w:p>
        </w:tc>
        <w:tc>
          <w:tcPr>
            <w:tcW w:w="480" w:type="dxa"/>
            <w:vAlign w:val="bottom"/>
            <w:gridSpan w:val="2"/>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58,659</w:t>
            </w: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326,106</w:t>
            </w:r>
          </w:p>
        </w:tc>
        <w:tc>
          <w:tcPr>
            <w:tcW w:w="3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152,850</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7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2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1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7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2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10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Interchange revenue,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ATM revenue, net</w:t>
            </w:r>
          </w:p>
        </w:tc>
        <w:tc>
          <w:tcPr>
            <w:tcW w:w="7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8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150,725</w:t>
            </w:r>
          </w:p>
        </w:tc>
        <w:tc>
          <w:tcPr>
            <w:tcW w:w="480" w:type="dxa"/>
            <w:vAlign w:val="bottom"/>
            <w:gridSpan w:val="2"/>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92,489</w:t>
            </w: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390,461</w:t>
            </w:r>
          </w:p>
        </w:tc>
        <w:tc>
          <w:tcPr>
            <w:tcW w:w="3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246,236</w:t>
            </w:r>
          </w:p>
        </w:tc>
        <w:tc>
          <w:tcPr>
            <w:tcW w:w="100" w:type="dxa"/>
            <w:vAlign w:val="bottom"/>
            <w:shd w:val="clear" w:color="auto" w:fill="B6DE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B6DEE8"/>
            </w:tcBorders>
            <w:shd w:val="clear" w:color="auto" w:fill="B6DEE8"/>
          </w:tcPr>
          <w:p>
            <w:pPr>
              <w:spacing w:after="0" w:line="20" w:lineRule="exact"/>
              <w:rPr>
                <w:sz w:val="1"/>
                <w:szCs w:val="1"/>
                <w:color w:val="auto"/>
              </w:rPr>
            </w:pPr>
          </w:p>
        </w:tc>
        <w:tc>
          <w:tcPr>
            <w:tcW w:w="700" w:type="dxa"/>
            <w:vAlign w:val="bottom"/>
            <w:tcBorders>
              <w:top w:val="single" w:sz="8" w:color="B6DEE8"/>
            </w:tcBorders>
            <w:shd w:val="clear" w:color="auto" w:fill="B6DE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-25400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Based Revenue, Net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Service based revenue, net primarily consists of optional processing fees, optional tips, overdraft service fees and subscriptions charged to Members, net of processor costs associated with ExtraCash originations. The Company operates concurrent receivable programs where receivables originated and held under legacy arrangements are accounted for as financial receivables in accordance with ASC 310, Receivables. Receivables originated and subsequently purchased under partner arrangements meet the criteria of sales accounting in accordance with ASC 860, Transfers and Servicing, and are accounted for as purchases of financial assets. These receivables are purchased at par value, which approximates the fair value, within one business day since the initial origination of the loans to Members. Processing and overdraft service fees, net and tips are recognized under the effective interest method for both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and Overdraft Service Fees, Net: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Processing and overdraft service fees apply in connection with a Member’s use of ExtraCash. The Company's new fee model, rolled out to all Members in February 2025, is a mandatory overdraft service fee. For accounting purposes, these fees are considered non-refundable origination fees and are recognized as revenue over the average expected contractual term of the related ExtraCash transactions.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Costs incurred by the Company to originate ExtraCash are treated, for accounting purposes, as direct origination costs. These direct origination costs are netted against ExtraCash-related income over the average expected contractual term of an ExtraCash. Direct origination costs recognized as a reduction of ExtraCash-related income during the three and nine months ended September 30, 2025 were $1.7 million and $4.2 million, respectively. During the three and nine months ended September 30, 2024, the Company recognized direct origination costs as a reduction of ExtraCash-related income of $1.1 million and $2.6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Tips: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Prior to the second quarter of 2025, the Company encouraged, but did not contractually require, its Members who receive ExtraCash to leave a discretionary tip. For accounting purposes, tips are treated as an adjustment of yield to ExtraCash and are recognized over the average expected contractual term of its ExtraCash receivables. The Company discontinued optional tips from its business model in February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w:t>
      </w:r>
    </w:p>
    <w:p>
      <w:pPr>
        <w:spacing w:after="0" w:line="1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subscriptions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w:t>
      </w:r>
    </w:p>
    <w:p>
      <w:pPr>
        <w:spacing w:after="0" w:line="7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Subscription fees are received on a monthly basis from Members who subscribe to the Company’s application. The Company continually fulfills its obligation to each Member over the subscription term. The series of distinct services represents a single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6" w:name="page17"/>
    <w:bookmarkEnd w:id="16"/>
    <w:p>
      <w:pPr>
        <w:ind w:right="440"/>
        <w:spacing w:after="0" w:line="282" w:lineRule="auto"/>
        <w:rPr>
          <w:sz w:val="20"/>
          <w:szCs w:val="20"/>
          <w:color w:val="auto"/>
        </w:rPr>
      </w:pPr>
      <w:r>
        <w:rPr>
          <w:rFonts w:ascii="Times New Roman" w:cs="Times New Roman" w:eastAsia="Times New Roman" w:hAnsi="Times New Roman"/>
          <w:sz w:val="18"/>
          <w:szCs w:val="18"/>
          <w:color w:val="auto"/>
        </w:rPr>
        <w:t>performance obligation that is satisfied over time. The Company recognizes revenue ratably as the Member receives and consumes the benefits of the platform throughout the monthly contract period.</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service based revenue consists of lead generation fees from the Company’s Side Hustle advertising partners and revenue share from the Company's Surveys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Based Revenue, Net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the Company’s Checking Product, net of certain interchange and ATM-related fees, fees earned from funding and withdrawal-related transactions of Member's funds, volume support from a certain co-branded agreement, dormant account fees,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Members' usage of out-of-network ATMs reduced by related ATM transaction costs during the three and nine months ended September 30, 2025 were $0.7 million and $2.3 million, respectively. ATM-related fees recognized as a reduction of transaction based revenue during the three and nine months ended September 30, 2025 were $0.6 million and $1.8 million, respectively. ATM fees earned from Members' usage of out-of-network ATMs reduced by related ATM transaction costs during the three and nine months ended September 30, 2024 were $0.7 million and $2.3 million, respectively. ATM-related fees recognized as a reduction of transaction based revenue during the three and nine months ended September 30, 2024 were $0.5 million and $1.5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and Servicing Costs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Processing and servicing costs consist of amounts paid to third-party processors for the recovery of ExtraCash, tips, processing fees, overdraft service fees and subscriptions. These expenses also include fees paid for services to connect Member’s bank accounts to the Company’s application. Except for processing and servicing costs associated with ExtraCash originations, which are recorded net against processing and service fee revenue, all other processing and servicing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Network and Transaction costs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Financial network and transaction costs consist of program management fees, card network association fees, payment processing costs, losses related to Member-disputed transactions, bank card fees and fraud-related losses. All other financial network and transaction costs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all highly liquid instruments with an original maturity of three months or less as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represents cash held at financial institutions that is pledged as collateral for specific accounts that may become overdrawn.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Marketable securities consist of a publicly traded money market mutual fund. The underlying money market instruments are primarily comprised of certificates of deposit and financial company asset backed commercial paper.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ind w:right="40"/>
        <w:spacing w:after="0" w:line="266" w:lineRule="auto"/>
        <w:rPr>
          <w:sz w:val="20"/>
          <w:szCs w:val="20"/>
          <w:color w:val="auto"/>
        </w:rPr>
      </w:pPr>
      <w:r>
        <w:rPr>
          <w:rFonts w:ascii="Times New Roman" w:cs="Times New Roman" w:eastAsia="Times New Roman" w:hAnsi="Times New Roman"/>
          <w:sz w:val="18"/>
          <w:szCs w:val="18"/>
          <w:color w:val="auto"/>
        </w:rPr>
        <w:t>to recovery of the non-credit related unrealized loss, the loss is recognized in earnings. Realized gains and losses are determined using the specific identification method and recognized in the condensed consolidated statements of comprehensive loss. Any related amounts recorded in accumulated other comprehensive income are reclassified to earnings (on a pre-tax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ExtraCash Receivables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ExtraCash Receivables include ExtraCash, processing and overdraft service fees and tips, net of certain direct origination costs and allowance for credit losses. The Company operates concurrent receivable programs where receivables originated and held under legacy arrangements are accounted for as financial receivables under ASC 310. Receivables originated and subsequently purchased under partner arrangements are accounted for as purchases of financial assets under ASC 860, Transfers and Servicing. Management's intent for receivables under ASC 310 is to hold until the earlier of repayment or payoff date, while receivables under ASC 860 represent purchased financial assets subject to the partner arrangement terms.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ExtraCash Receivables to Members are not interest-bearing. For receivables accounted for under ASC 310, the Company recognizes these ExtraCash Receivables at the origination amount and does not use discounting techniques to determine present value of originations due to their short-term nature. For receivables accounted for under ASC 860, the Company recognizes purchased financial assets at fair value upon 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modifications to ExtraCash and does not charge late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origination amounts, inclusive of outstanding processing fees, overdraft service fees and tips, and reduced by an allowance for expected credit losses. The Company pools its ExtraCash receivables,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expected credit losses at the time of the ExtraCash origination. Adjustments to the allowance each period for changes in the estimate of lifetime expected credit losses are recognized in operating expenses—provision for credit losses in the condensed consolidated statements of operations.</w:t>
      </w:r>
    </w:p>
    <w:p>
      <w:pPr>
        <w:spacing w:after="0" w:line="8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When the Company determines that an ExtraCash receivable is not collectible, or after 120 days from origination has passed, the uncollectible amount is written-off as a reduction to both the allowance and the gross asset balance. Subsequent recoveries are recorded when received and are recorded as a recovery of the allowance for expected credit losses. Based on the average ExtraCash receivables term of approximately 11 days, ExtraCash receivables outstanding 12 or more days from origination may be considered past due. Any change in circumstances related to a specific Member ExtraCash receivables may result in an additional allowance for expected credit losses being recognized in the period in which the change occurs.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operating expenses in the condensed consolidated statements of operations. Capitalized costs for the three and nine months ended September 30, 2025 were $1.7 and $4.8 million, respectively. Capitalized costs for the three and nine months ended September 30, 2024 were $1.7 million and $5.5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internally developed software commences when the software is ready for its intended use (i.e., after all substantial testing is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developed software is amortized over its estimated useful life of 3 years.</w:t>
      </w:r>
    </w:p>
    <w:p>
      <w:pPr>
        <w:spacing w:after="0" w:line="9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ASC 820, Fair Value Measurement (“ASC 820”), provides a single definition of fair value and a common framework for measuring fair value as well as disclosure requirements for fair value measurements used in the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principally consist of cash and cash equivalents, restricted cash, ExtraCash receivables, and accounts receivable. The Company’s cash and cash equivalents and restricted cash in excess of the FDIC insured limits were $48.9 million at September 30, 2025 and $61.1 million at December 31, 2024.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w:t>
      </w:r>
    </w:p>
    <w:p>
      <w:pPr>
        <w:spacing w:after="0" w:line="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rely on agreements with Evolve Bank &amp; Trust, our primary bank partner, and Coastal Community Bank to provide ExtraCash and other deposit accounts, debit card services and other transaction services to us and our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 Member individually exceeded 10% or more of the Company’s ExtraCash receivables balance as of September 30, 2025 and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ASC 842, Leases (“ASC 842”) requires lessees to recognize most leases on the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Awards:</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Restricted stock units (“RSUs”) are valued on the grant date. The fair value of the RSUs that vest based solely on a service condition is equal to the estimated fair value of the Company’s Class A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condensed consolidated statements of operations. The Company recognizes forfeitures as they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 Awards: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Performance-based RSUs are valued on the grant date and the compensation cost is recognized over the requisite service period if and when the Company concludes it is probable that the performance metrics will be satisfied. The grant-date fair value of the awards are not subsequently remeasured; however, the Company reassesses the probability of vesting at each reporting period and records a cumulative adjustment to compensation expense based on the likelihood the performance metric will be achieved. These costs are a component of stock-based compensation expense, presented within compensation and benefits in the condensed consolidated statements of operations. The Company recognizes forfeitures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Activation Costs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consist primarily of expenses related to digital marketing, paid social media, influencer partnerships, content marketing and referral programs. Advertising costs for the three and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60"/>
        <w:spacing w:after="0" w:line="256" w:lineRule="auto"/>
        <w:rPr>
          <w:sz w:val="20"/>
          <w:szCs w:val="20"/>
          <w:color w:val="auto"/>
        </w:rPr>
      </w:pPr>
      <w:r>
        <w:rPr>
          <w:rFonts w:ascii="Times New Roman" w:cs="Times New Roman" w:eastAsia="Times New Roman" w:hAnsi="Times New Roman"/>
          <w:sz w:val="18"/>
          <w:szCs w:val="18"/>
          <w:color w:val="auto"/>
        </w:rPr>
        <w:t>September 30, 2025, were $16.4 million and $40.1 million, respectively, and are presented within advertising and activation costs in the condensed consolidated statements of operations. Advertising costs for the three months ended September 30, 2024 were $12.5 million and $32.3 million, respectively. Activation costs, which consist primarily of expenses incurred to onboard and activate new users, are also expensed as incurred. Activation costs for the three and nine months ended September 30, 2025, were $2.5 million and $6.2 million, respectively, and are presented within advertising and activation costs in the condensed consolidated statements of operations. Activation costs for the three and nine months ended September 30, 2024 were $2.4 million and $6.4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$2.5 and $2.0 million of uncertain tax positions as of September 30, 2025 and December 31, 2024, respectively, related to state income taxes and federal and state research and development tax credits.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accrued on any unrecognized tax benefits as a component of income tax expense within the statement of operations. The Company recognized $0.02 million and $0.004 million of interest expense and penalties as a component of income tax expense during the nine months ended September 30, 2025 and 2024, respectively. There were $0.05 million and $0.02 million of accrued interest expense and penalties as of September 30, 2025 and September 30, 2024, respectively.</w:t>
      </w:r>
    </w:p>
    <w:p>
      <w:pPr>
        <w:spacing w:after="0" w:line="7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each quarter. In making that assessment, the Company considers both positive and negative evidence in the various jurisdictions in which it operates related to the likelihood of realization of the deferred tax assets to determine, based on the weight of available evidence, whether it is more likely than not that some or all of the deferred tax assets will not be realized. As of September 30, 2025, based on all available positive and negative evidence, having demonstrated sustained profitability, which is objective and verifiable, and taking into account anticipated future earnings, the Company has concluded that it is more likely than not that its U.S. federal and state deferred tax assets will be realizable. When a change in valuation allowance is recognized during an interim period, the change in valuation allowance resulting from current year income is included in the annual effective tax rate and the release of valuation allowance supported by projections of future taxable income is recorded as a discrete tax benefit in the interim period. The Company released $27.4 million of its valuation allowance as a discrete tax benefit during the three months ended September 30, 2025. The Company will continue to monitor the need for a valuation allowance against its deferred tax assets on a quarterly basis.</w:t>
      </w:r>
    </w:p>
    <w:p>
      <w:pPr>
        <w:spacing w:after="0" w:line="1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27, 2025, California enacted legislation requiring financial institutions to utilize a single sales factor apportionment method, effective for tax years beginning in 2025. The Company is currently evaluating the impact of this legislation on its income tax provision, but anticipates that the new law will decrease its California apportioned income and state income tax expense beginning in 2025.</w:t>
      </w:r>
    </w:p>
    <w:p>
      <w:pPr>
        <w:spacing w:after="0" w:line="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July 4, 2025, new U.S. tax legislation H.R.1, known as the One Big Beautiful Bill Act ("OBBBA"), was enacted. The OBBBA introduces significant amendments to corporate taxation, including the modification of research and development (R&amp;D) expense capitalization, additional limitations on interest expense deductions, and provisions for accelerated depreciation of fixed assets. During the third quarter of 2025, the Company completed its assessment of OBBBA and elected to accelerate the amortization of its previously capitalized and unamortized U.S. research and development costs over a one-year period as permitted under the new legislation. The impact of this election was reflected in the Company's condensed consolidated financial statements for the quarter ended September 30, 2025, and did not have a material impact on the Company's financial position or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determines its operating segment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1" w:name="page22"/>
    <w:bookmarkEnd w:id="21"/>
    <w:p>
      <w:pPr>
        <w:ind w:right="80"/>
        <w:spacing w:after="0" w:line="282" w:lineRule="auto"/>
        <w:rPr>
          <w:sz w:val="20"/>
          <w:szCs w:val="20"/>
          <w:color w:val="auto"/>
        </w:rPr>
      </w:pPr>
      <w:r>
        <w:rPr>
          <w:rFonts w:ascii="Times New Roman" w:cs="Times New Roman" w:eastAsia="Times New Roman" w:hAnsi="Times New Roman"/>
          <w:sz w:val="18"/>
          <w:szCs w:val="18"/>
          <w:color w:val="auto"/>
        </w:rPr>
        <w:t>purposes of allocating resources and evaluating financial performance, the operations of the Company constitute a single operating segment and reportable segment. Refer to Note 19 Segment Information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Stockholders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two classes of participating securities (Class A common stock, par value $0.0001 per share ("Class A Common Stock") and Class V common stock, par value $0.0001 per share ("Class V Common Stock")) issued and outstanding as of September 30, 2025 (the Class V Common Stock and together with the Class A Common Stock, the “Common Stock”). The rights, including the liquidation and dividend rights, of the holders of the Class A Common Stock and Class V Common Stock are identical, except with respect to voting.</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Basic net income attributable to holders of Common Stock per share is calculated by dividing net income attributable to holders of Common Stock by the weighted-average number of shares outstanding.</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Diluted net income per share attributable to holders of common stock is computed by dividing net income per share attributable to stockholders and the weighted-average number of shares outstanding and the effect of potentially dilutive stock options, warrants, and restricted stock using the treasury stock method.</w:t>
      </w:r>
    </w:p>
    <w:p>
      <w:pPr>
        <w:spacing w:after="0" w:line="66"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per share attributable to holders of common stock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share data</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9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attributed to common stockholders—basic and diluted</w:t>
            </w:r>
          </w:p>
        </w:tc>
        <w:tc>
          <w:tcPr>
            <w:tcW w:w="360" w:type="dxa"/>
            <w:vAlign w:val="bottom"/>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92,072</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129,924</w:t>
            </w:r>
          </w:p>
        </w:tc>
        <w:tc>
          <w:tcPr>
            <w:tcW w:w="340" w:type="dxa"/>
            <w:vAlign w:val="bottom"/>
            <w:gridSpan w:val="2"/>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gridSpan w:val="2"/>
            <w:shd w:val="clear" w:color="auto" w:fill="B6DEE8"/>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Denominator</w:t>
            </w:r>
          </w:p>
        </w:tc>
        <w:tc>
          <w:tcPr>
            <w:tcW w:w="3880" w:type="dxa"/>
            <w:vAlign w:val="bottom"/>
            <w:tcBorders>
              <w:bottom w:val="single" w:sz="8" w:color="B6DEE8"/>
            </w:tcBorders>
            <w:gridSpan w:val="2"/>
            <w:shd w:val="clear" w:color="auto" w:fill="B6DEE8"/>
          </w:tcPr>
          <w:p>
            <w:pPr>
              <w:spacing w:after="0"/>
              <w:rPr>
                <w:sz w:val="17"/>
                <w:szCs w:val="17"/>
                <w:color w:val="auto"/>
              </w:rPr>
            </w:pPr>
          </w:p>
        </w:tc>
        <w:tc>
          <w:tcPr>
            <w:tcW w:w="140" w:type="dxa"/>
            <w:vAlign w:val="bottom"/>
            <w:tcBorders>
              <w:bottom w:val="single" w:sz="8" w:color="B6DEE8"/>
            </w:tcBorders>
            <w:shd w:val="clear" w:color="auto" w:fill="B6DEE8"/>
          </w:tcPr>
          <w:p>
            <w:pPr>
              <w:spacing w:after="0"/>
              <w:rPr>
                <w:sz w:val="17"/>
                <w:szCs w:val="17"/>
                <w:color w:val="auto"/>
              </w:rPr>
            </w:pPr>
          </w:p>
        </w:tc>
        <w:tc>
          <w:tcPr>
            <w:tcW w:w="220" w:type="dxa"/>
            <w:vAlign w:val="bottom"/>
            <w:tcBorders>
              <w:bottom w:val="single" w:sz="8" w:color="B6DEE8"/>
            </w:tcBorders>
            <w:shd w:val="clear" w:color="auto" w:fill="B6DEE8"/>
          </w:tcPr>
          <w:p>
            <w:pPr>
              <w:spacing w:after="0"/>
              <w:rPr>
                <w:sz w:val="17"/>
                <w:szCs w:val="17"/>
                <w:color w:val="auto"/>
              </w:rPr>
            </w:pPr>
          </w:p>
        </w:tc>
        <w:tc>
          <w:tcPr>
            <w:tcW w:w="980" w:type="dxa"/>
            <w:vAlign w:val="bottom"/>
            <w:tcBorders>
              <w:bottom w:val="single" w:sz="8" w:color="B6DEE8"/>
            </w:tcBorders>
            <w:shd w:val="clear" w:color="auto" w:fill="B6DEE8"/>
          </w:tcPr>
          <w:p>
            <w:pPr>
              <w:spacing w:after="0"/>
              <w:rPr>
                <w:sz w:val="17"/>
                <w:szCs w:val="17"/>
                <w:color w:val="auto"/>
              </w:rPr>
            </w:pPr>
          </w:p>
        </w:tc>
        <w:tc>
          <w:tcPr>
            <w:tcW w:w="80" w:type="dxa"/>
            <w:vAlign w:val="bottom"/>
            <w:tcBorders>
              <w:bottom w:val="single" w:sz="8" w:color="B6DEE8"/>
            </w:tcBorders>
            <w:shd w:val="clear" w:color="auto" w:fill="B6DEE8"/>
          </w:tcPr>
          <w:p>
            <w:pPr>
              <w:spacing w:after="0"/>
              <w:rPr>
                <w:sz w:val="17"/>
                <w:szCs w:val="17"/>
                <w:color w:val="auto"/>
              </w:rPr>
            </w:pPr>
          </w:p>
        </w:tc>
        <w:tc>
          <w:tcPr>
            <w:tcW w:w="160" w:type="dxa"/>
            <w:vAlign w:val="bottom"/>
            <w:tcBorders>
              <w:bottom w:val="single" w:sz="8" w:color="B6DEE8"/>
            </w:tcBorders>
            <w:shd w:val="clear" w:color="auto" w:fill="B6DEE8"/>
          </w:tcPr>
          <w:p>
            <w:pPr>
              <w:spacing w:after="0"/>
              <w:rPr>
                <w:sz w:val="17"/>
                <w:szCs w:val="17"/>
                <w:color w:val="auto"/>
              </w:rPr>
            </w:pPr>
          </w:p>
        </w:tc>
        <w:tc>
          <w:tcPr>
            <w:tcW w:w="880" w:type="dxa"/>
            <w:vAlign w:val="bottom"/>
            <w:tcBorders>
              <w:bottom w:val="single" w:sz="8" w:color="B6DEE8"/>
            </w:tcBorders>
            <w:shd w:val="clear" w:color="auto" w:fill="B6DEE8"/>
          </w:tcPr>
          <w:p>
            <w:pPr>
              <w:spacing w:after="0"/>
              <w:rPr>
                <w:sz w:val="17"/>
                <w:szCs w:val="17"/>
                <w:color w:val="auto"/>
              </w:rPr>
            </w:pPr>
          </w:p>
        </w:tc>
        <w:tc>
          <w:tcPr>
            <w:tcW w:w="100" w:type="dxa"/>
            <w:vAlign w:val="bottom"/>
            <w:tcBorders>
              <w:bottom w:val="single" w:sz="8" w:color="B6DEE8"/>
            </w:tcBorders>
            <w:shd w:val="clear" w:color="auto" w:fill="B6DEE8"/>
          </w:tcPr>
          <w:p>
            <w:pPr>
              <w:spacing w:after="0"/>
              <w:rPr>
                <w:sz w:val="17"/>
                <w:szCs w:val="17"/>
                <w:color w:val="auto"/>
              </w:rPr>
            </w:pPr>
          </w:p>
        </w:tc>
        <w:tc>
          <w:tcPr>
            <w:tcW w:w="140" w:type="dxa"/>
            <w:vAlign w:val="bottom"/>
            <w:tcBorders>
              <w:bottom w:val="single" w:sz="8" w:color="B6DEE8"/>
            </w:tcBorders>
            <w:shd w:val="clear" w:color="auto" w:fill="B6DEE8"/>
          </w:tcPr>
          <w:p>
            <w:pPr>
              <w:spacing w:after="0"/>
              <w:rPr>
                <w:sz w:val="17"/>
                <w:szCs w:val="17"/>
                <w:color w:val="auto"/>
              </w:rPr>
            </w:pPr>
          </w:p>
        </w:tc>
        <w:tc>
          <w:tcPr>
            <w:tcW w:w="1080" w:type="dxa"/>
            <w:vAlign w:val="bottom"/>
            <w:tcBorders>
              <w:bottom w:val="single" w:sz="8" w:color="B6DEE8"/>
            </w:tcBorders>
            <w:shd w:val="clear" w:color="auto" w:fill="B6DEE8"/>
          </w:tcPr>
          <w:p>
            <w:pPr>
              <w:spacing w:after="0"/>
              <w:rPr>
                <w:sz w:val="17"/>
                <w:szCs w:val="17"/>
                <w:color w:val="auto"/>
              </w:rPr>
            </w:pPr>
          </w:p>
        </w:tc>
        <w:tc>
          <w:tcPr>
            <w:tcW w:w="80" w:type="dxa"/>
            <w:vAlign w:val="bottom"/>
            <w:tcBorders>
              <w:bottom w:val="single" w:sz="8" w:color="B6DEE8"/>
            </w:tcBorders>
            <w:shd w:val="clear" w:color="auto" w:fill="B6DEE8"/>
          </w:tcPr>
          <w:p>
            <w:pPr>
              <w:spacing w:after="0"/>
              <w:rPr>
                <w:sz w:val="17"/>
                <w:szCs w:val="17"/>
                <w:color w:val="auto"/>
              </w:rPr>
            </w:pPr>
          </w:p>
        </w:tc>
        <w:tc>
          <w:tcPr>
            <w:tcW w:w="260" w:type="dxa"/>
            <w:vAlign w:val="bottom"/>
            <w:tcBorders>
              <w:bottom w:val="single" w:sz="8" w:color="B6DEE8"/>
            </w:tcBorders>
            <w:shd w:val="clear" w:color="auto" w:fill="B6DEE8"/>
          </w:tcPr>
          <w:p>
            <w:pPr>
              <w:spacing w:after="0"/>
              <w:rPr>
                <w:sz w:val="17"/>
                <w:szCs w:val="17"/>
                <w:color w:val="auto"/>
              </w:rPr>
            </w:pPr>
          </w:p>
        </w:tc>
        <w:tc>
          <w:tcPr>
            <w:tcW w:w="980" w:type="dxa"/>
            <w:vAlign w:val="bottom"/>
            <w:tcBorders>
              <w:bottom w:val="single" w:sz="8" w:color="B6DEE8"/>
            </w:tcBorders>
            <w:shd w:val="clear" w:color="auto" w:fill="B6DEE8"/>
          </w:tcPr>
          <w:p>
            <w:pPr>
              <w:spacing w:after="0"/>
              <w:rPr>
                <w:sz w:val="17"/>
                <w:szCs w:val="17"/>
                <w:color w:val="auto"/>
              </w:rPr>
            </w:pPr>
          </w:p>
        </w:tc>
        <w:tc>
          <w:tcPr>
            <w:tcW w:w="100" w:type="dxa"/>
            <w:vAlign w:val="bottom"/>
            <w:tcBorders>
              <w:bottom w:val="single" w:sz="8" w:color="B6DEE8"/>
            </w:tcBorders>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13,457,671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12,639,294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13,317,504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4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198,532</w:t>
            </w:r>
          </w:p>
        </w:tc>
        <w:tc>
          <w:tcPr>
            <w:tcW w:w="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258,809</w:t>
            </w:r>
          </w:p>
        </w:tc>
        <w:tc>
          <w:tcPr>
            <w:tcW w:w="1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194,928</w:t>
            </w:r>
          </w:p>
        </w:tc>
        <w:tc>
          <w:tcPr>
            <w:tcW w:w="8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255,565</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Dilutive effect of RSU</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869,098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1,034,549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980,395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14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14,525,301</w:t>
            </w:r>
          </w:p>
        </w:tc>
        <w:tc>
          <w:tcPr>
            <w:tcW w:w="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13,932,652</w:t>
            </w:r>
          </w:p>
        </w:tc>
        <w:tc>
          <w:tcPr>
            <w:tcW w:w="1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14,492,827</w:t>
            </w:r>
          </w:p>
        </w:tc>
        <w:tc>
          <w:tcPr>
            <w:tcW w:w="8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13,587,377</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00" w:type="dxa"/>
            <w:vAlign w:val="bottom"/>
            <w:gridSpan w:val="4"/>
            <w:shd w:val="clear" w:color="auto" w:fill="B6DEE8"/>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14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98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88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08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260" w:type="dxa"/>
            <w:vAlign w:val="bottom"/>
            <w:shd w:val="clear" w:color="auto" w:fill="B6DEE8"/>
          </w:tcPr>
          <w:p>
            <w:pPr>
              <w:spacing w:after="0"/>
              <w:rPr>
                <w:sz w:val="17"/>
                <w:szCs w:val="17"/>
                <w:color w:val="auto"/>
              </w:rPr>
            </w:pPr>
          </w:p>
        </w:tc>
        <w:tc>
          <w:tcPr>
            <w:tcW w:w="98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280" w:type="dxa"/>
            <w:vAlign w:val="bottom"/>
            <w:tcBorders>
              <w:top w:val="single" w:sz="8" w:color="B6DEE8"/>
            </w:tcBorders>
          </w:tcPr>
          <w:p>
            <w:pPr>
              <w:spacing w:after="0"/>
              <w:rPr>
                <w:sz w:val="18"/>
                <w:szCs w:val="18"/>
                <w:color w:val="auto"/>
              </w:rPr>
            </w:pPr>
          </w:p>
        </w:tc>
        <w:tc>
          <w:tcPr>
            <w:tcW w:w="360" w:type="dxa"/>
            <w:vAlign w:val="bottom"/>
            <w:tcBorders>
              <w:top w:val="single" w:sz="8" w:color="B6DEE8"/>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Borders>
              <w:top w:val="single" w:sz="8" w:color="B6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B6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40" w:type="dxa"/>
            <w:vAlign w:val="bottom"/>
            <w:tcBorders>
              <w:top w:val="single" w:sz="8" w:color="B6DEE8"/>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B6DE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40" w:type="dxa"/>
            <w:vAlign w:val="bottom"/>
            <w:gridSpan w:val="2"/>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per share for the periods presented because including them would have been antidilutive:</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80" w:type="dxa"/>
            <w:vAlign w:val="bottom"/>
          </w:tcPr>
          <w:p>
            <w:pPr>
              <w:spacing w:after="0"/>
              <w:rPr>
                <w:sz w:val="20"/>
                <w:szCs w:val="20"/>
                <w:color w:val="auto"/>
              </w:rPr>
            </w:pPr>
          </w:p>
        </w:tc>
        <w:tc>
          <w:tcPr>
            <w:tcW w:w="27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187"/>
        </w:trPr>
        <w:tc>
          <w:tcPr>
            <w:tcW w:w="5020" w:type="dxa"/>
            <w:vAlign w:val="bottom"/>
          </w:tcPr>
          <w:p>
            <w:pPr>
              <w:spacing w:after="0"/>
              <w:rPr>
                <w:sz w:val="16"/>
                <w:szCs w:val="16"/>
                <w:color w:val="auto"/>
              </w:rPr>
            </w:pPr>
          </w:p>
        </w:tc>
        <w:tc>
          <w:tcPr>
            <w:tcW w:w="11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50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0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Equity incentive awards</w:t>
            </w:r>
          </w:p>
        </w:tc>
        <w:tc>
          <w:tcPr>
            <w:tcW w:w="1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412,857</w:t>
            </w:r>
          </w:p>
        </w:tc>
        <w:tc>
          <w:tcPr>
            <w:tcW w:w="100" w:type="dxa"/>
            <w:vAlign w:val="bottom"/>
            <w:tcBorders>
              <w:bottom w:val="single" w:sz="8" w:color="B6DEE8"/>
            </w:tcBorders>
            <w:shd w:val="clear" w:color="auto" w:fill="B6DEE8"/>
          </w:tcPr>
          <w:p>
            <w:pPr>
              <w:spacing w:after="0"/>
              <w:rPr>
                <w:sz w:val="18"/>
                <w:szCs w:val="18"/>
                <w:color w:val="auto"/>
              </w:rPr>
            </w:pP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86,354</w:t>
            </w:r>
          </w:p>
        </w:tc>
        <w:tc>
          <w:tcPr>
            <w:tcW w:w="80" w:type="dxa"/>
            <w:vAlign w:val="bottom"/>
            <w:tcBorders>
              <w:bottom w:val="single" w:sz="8" w:color="B6DEE8"/>
            </w:tcBorders>
            <w:shd w:val="clear" w:color="auto" w:fill="B6DEE8"/>
          </w:tcPr>
          <w:p>
            <w:pPr>
              <w:spacing w:after="0"/>
              <w:rPr>
                <w:sz w:val="18"/>
                <w:szCs w:val="18"/>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474,176</w:t>
            </w:r>
          </w:p>
        </w:tc>
        <w:tc>
          <w:tcPr>
            <w:tcW w:w="100" w:type="dxa"/>
            <w:vAlign w:val="bottom"/>
            <w:tcBorders>
              <w:bottom w:val="single" w:sz="8" w:color="B6DEE8"/>
            </w:tcBorders>
            <w:shd w:val="clear" w:color="auto" w:fill="B6DEE8"/>
          </w:tcPr>
          <w:p>
            <w:pPr>
              <w:spacing w:after="0"/>
              <w:rPr>
                <w:sz w:val="18"/>
                <w:szCs w:val="18"/>
                <w:color w:val="auto"/>
              </w:rPr>
            </w:pPr>
          </w:p>
        </w:tc>
        <w:tc>
          <w:tcPr>
            <w:tcW w:w="12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613,956</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412,857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86,354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474,176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613,956</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also excluded 11,444,235 public and private warrants and 49,653 earnout shares that were potentially dilutive from the computation of diluted net income for the three and nine months ended September 30, 2025 and 2024, respectively, as including them would have been antidilutive. In connection with the 32-for-1 reverse stock split effected on January 4, 2023, 32 warrants are exercisable for one share of Class A Common Stock. Refer to Note 10 Warrant Liabilities and Note 14 Fair Value of Financial Instruments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No. 2023-09, </w:t>
      </w:r>
      <w:r>
        <w:rPr>
          <w:rFonts w:ascii="Times New Roman" w:cs="Times New Roman" w:eastAsia="Times New Roman" w:hAnsi="Times New Roman"/>
          <w:sz w:val="18"/>
          <w:szCs w:val="18"/>
          <w:i w:val="1"/>
          <w:iCs w:val="1"/>
          <w:color w:val="auto"/>
        </w:rPr>
        <w:t>Income Taxes -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The amendments require enhanced disclosures in connection with an entity's effective tax rate reconciliation, income taxes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by jurisdiction, and clarification on uncertain tax positions and related financial statement impacts. The amendments are effective for annual periods beginning after December 15, 2024. The Company is currently evaluating the impact of this amendment on its financial statement disclosures.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and in January 2025, the FASB issued ASU No. 2025-01, Clarifying the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require entities to disclose the following amounts in each relevant income statement expense captions: purchases of inventory, employee compensation, depreciation and intangible asset amortization. Entities are also required to disclose the total amount of selling expense and the entities definition of selling expenses. The amendments, as clarified by ASU No. 2025-01, are effective for fiscal years beginning after December 15, 2026, with early adoption permitted, and may be applied retrospectively or prospectively. The Company is currently evaluating the impact of this standard on its financial statement disclosures.</w:t>
      </w:r>
    </w:p>
    <w:p>
      <w:pPr>
        <w:spacing w:after="0" w:line="7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released ASU 2025-04, </w:t>
      </w:r>
      <w:r>
        <w:rPr>
          <w:rFonts w:ascii="Times New Roman" w:cs="Times New Roman" w:eastAsia="Times New Roman" w:hAnsi="Times New Roman"/>
          <w:sz w:val="18"/>
          <w:szCs w:val="18"/>
          <w:i w:val="1"/>
          <w:iCs w:val="1"/>
          <w:color w:val="auto"/>
        </w:rPr>
        <w:t>Compensation—Stock Compensation (Topic 718): Simplifying Accounting for Certain Modifications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This new standard provides guidance to streamline the accounting for certain modifications of equity awards, including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equity-classified share-based payment awards. The ASU clarifies when a modification is considered substantive, how to measure the effects, and which disclosures are required upon modification. ASU 2025-04 becomes effective for fiscal years beginning after December 15, 2025, and for interim periods within those fiscal years. Early adoption is permitted. The Company is currently evaluating the impact of this standard on its financial statement disclosures.</w:t>
      </w:r>
    </w:p>
    <w:p>
      <w:pPr>
        <w:spacing w:after="0" w:line="1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to simplify the estimation of expected credit losses for current accounts receivable and current contract assets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accounted for under ASC 606. The amendments introduce a practical expedient, available to all entities, that permits assuming current economic conditions as of the balance sheet date remain unchanged over the asset’s remaining life when estimating expected credit losses, and an accounting policy election, available to nonpublic entities that apply the expedient, allowing consideration of collection activity after the balance sheet date. Entities must disclose whether they elected the practical expedient and, if applicable, the accounting policy election and the date through which subsequent collection activity was evaluated. ASU 2025-05 is effective for annual reporting periods beginning after December 15, 2025, including interim periods within those fiscal years, with early adoption permitted and prospective application required. The Company is currently evaluating the impact of this guidance on its financial statements and related disclosures.</w:t>
      </w:r>
    </w:p>
    <w:p>
      <w:pPr>
        <w:spacing w:after="0" w:line="1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October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Targeted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Accounting for Internal-Use Software</w:t>
      </w:r>
      <w:r>
        <w:rPr>
          <w:rFonts w:ascii="Times New Roman" w:cs="Times New Roman" w:eastAsia="Times New Roman" w:hAnsi="Times New Roman"/>
          <w:sz w:val="18"/>
          <w:szCs w:val="18"/>
          <w:color w:val="auto"/>
        </w:rPr>
        <w:t>. This standard eliminates references to software development project stages and clarifies the 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threshold for internal-use software costs. The amendments also supersede Subtopic 350-50, incorporating website development cost guidance into Subtopic 350-40. ASU 2025-06 requires capitalization of internal-use software costs once management authorizes funding and it is probable the project will be completed for its intended use, provided there is no significant development uncertainty. Disclosure requirements under Subtopic 360-10 will apply to all capitalized and amortized software costs. The amendments are effective for annual and interim periods beginning after December 15, 2027, with early adoption permitted. Entities may apply the new guidance using prospective, modified, or retrospective transition methods. The Company is currently evaluating the impact of this standard on its financial statements and related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marketable securities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960" w:type="dxa"/>
            <w:vAlign w:val="bottom"/>
            <w:tcBorders>
              <w:bottom w:val="single" w:sz="8" w:color="auto"/>
            </w:tcBorders>
            <w:shd w:val="clear" w:color="auto" w:fill="B6DEE8"/>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B6DEE8"/>
          </w:tcPr>
          <w:p>
            <w:pPr>
              <w:spacing w:after="0"/>
              <w:rPr>
                <w:sz w:val="18"/>
                <w:szCs w:val="18"/>
                <w:color w:val="auto"/>
              </w:rPr>
            </w:pPr>
          </w:p>
        </w:tc>
        <w:tc>
          <w:tcPr>
            <w:tcW w:w="280" w:type="dxa"/>
            <w:vAlign w:val="bottom"/>
            <w:tcBorders>
              <w:bottom w:val="single" w:sz="8" w:color="auto"/>
            </w:tcBorders>
            <w:shd w:val="clear" w:color="auto" w:fill="B6DEE8"/>
          </w:tcPr>
          <w:p>
            <w:pPr>
              <w:spacing w:after="0"/>
              <w:rPr>
                <w:sz w:val="18"/>
                <w:szCs w:val="18"/>
                <w:color w:val="auto"/>
              </w:rPr>
            </w:pPr>
          </w:p>
        </w:tc>
        <w:tc>
          <w:tcPr>
            <w:tcW w:w="3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860" w:type="dxa"/>
            <w:vAlign w:val="bottom"/>
            <w:tcBorders>
              <w:bottom w:val="single" w:sz="8" w:color="auto"/>
            </w:tcBorders>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20"/>
        </w:trPr>
        <w:tc>
          <w:tcPr>
            <w:tcW w:w="28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At September 30, 2025, the Company did not hold any marketable securities. At December 31, 2024, the Company's marketable securities consisted of investments in a publicly traded money market mutual fund with a fair value of $0.1 million. The underlying money market instruments were primarily comprised of certificates of deposit and financial company asset-backed commercial paper with a weighted-average maturity of 35 days.</w:t>
      </w:r>
    </w:p>
    <w:p>
      <w:pPr>
        <w:spacing w:after="0" w:line="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gains recognized in connection with the investment in marketable securities were $0.001 and $0.003 million, respectively, and were recorded as a component of interest income in the condensed consolidated statements of operations. During the three and nine months ended September 30, 2024, gains recognized in connection with the investment in marketable securities were $0.001 and $0.08 million, respectively, and were recorded as a component of interest income 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September 30,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r>
      <w:tr>
        <w:trPr>
          <w:trHeight w:val="209"/>
        </w:trPr>
        <w:tc>
          <w:tcPr>
            <w:tcW w:w="23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720" w:type="dxa"/>
            <w:vAlign w:val="bottom"/>
            <w:gridSpan w:val="2"/>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560" w:type="dxa"/>
            <w:vAlign w:val="bottom"/>
            <w:gridSpan w:val="3"/>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B6DEE8"/>
          </w:tcPr>
          <w:p>
            <w:pPr>
              <w:spacing w:after="0"/>
              <w:rPr>
                <w:sz w:val="18"/>
                <w:szCs w:val="18"/>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B6DEE8"/>
          </w:tcPr>
          <w:p>
            <w:pPr>
              <w:spacing w:after="0"/>
              <w:rPr>
                <w:sz w:val="18"/>
                <w:szCs w:val="18"/>
                <w:color w:val="auto"/>
              </w:rPr>
            </w:pPr>
          </w:p>
        </w:tc>
      </w:tr>
      <w:tr>
        <w:trPr>
          <w:trHeight w:val="216"/>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40,376</w:t>
            </w:r>
          </w:p>
        </w:tc>
        <w:tc>
          <w:tcPr>
            <w:tcW w:w="120" w:type="dxa"/>
            <w:vAlign w:val="bottom"/>
          </w:tcPr>
          <w:p>
            <w:pPr>
              <w:spacing w:after="0"/>
              <w:rPr>
                <w:sz w:val="18"/>
                <w:szCs w:val="18"/>
                <w:color w:val="auto"/>
              </w:rPr>
            </w:pPr>
          </w:p>
        </w:tc>
      </w:tr>
      <w:tr>
        <w:trPr>
          <w:trHeight w:val="230"/>
        </w:trPr>
        <w:tc>
          <w:tcPr>
            <w:tcW w:w="23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gridSpan w:val="2"/>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41,571</w:t>
            </w:r>
          </w:p>
        </w:tc>
        <w:tc>
          <w:tcPr>
            <w:tcW w:w="100" w:type="dxa"/>
            <w:vAlign w:val="bottom"/>
            <w:shd w:val="clear" w:color="auto" w:fill="B6DEE8"/>
          </w:tcPr>
          <w:p>
            <w:pPr>
              <w:spacing w:after="0"/>
              <w:rPr>
                <w:sz w:val="19"/>
                <w:szCs w:val="19"/>
                <w:color w:val="auto"/>
              </w:rPr>
            </w:pPr>
          </w:p>
        </w:tc>
        <w:tc>
          <w:tcPr>
            <w:tcW w:w="46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shd w:val="clear" w:color="auto" w:fill="B6DEE8"/>
          </w:tcPr>
          <w:p>
            <w:pPr>
              <w:spacing w:after="0"/>
              <w:rPr>
                <w:sz w:val="19"/>
                <w:szCs w:val="19"/>
                <w:color w:val="auto"/>
              </w:rPr>
            </w:pPr>
          </w:p>
        </w:tc>
        <w:tc>
          <w:tcPr>
            <w:tcW w:w="440" w:type="dxa"/>
            <w:vAlign w:val="bottom"/>
            <w:gridSpan w:val="2"/>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shd w:val="clear" w:color="auto" w:fill="B6DEE8"/>
          </w:tcPr>
          <w:p>
            <w:pPr>
              <w:spacing w:after="0"/>
              <w:rPr>
                <w:sz w:val="19"/>
                <w:szCs w:val="19"/>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41,846</w:t>
            </w:r>
          </w:p>
        </w:tc>
        <w:tc>
          <w:tcPr>
            <w:tcW w:w="120" w:type="dxa"/>
            <w:vAlign w:val="bottom"/>
            <w:shd w:val="clear" w:color="auto" w:fill="B6DEE8"/>
          </w:tcPr>
          <w:p>
            <w:pPr>
              <w:spacing w:after="0"/>
              <w:rPr>
                <w:sz w:val="19"/>
                <w:szCs w:val="19"/>
                <w:color w:val="auto"/>
              </w:rPr>
            </w:pPr>
          </w:p>
        </w:tc>
      </w:tr>
      <w:tr>
        <w:trPr>
          <w:trHeight w:val="20"/>
        </w:trPr>
        <w:tc>
          <w:tcPr>
            <w:tcW w:w="2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-24765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Borders>
              <w:top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720" w:type="dxa"/>
            <w:vAlign w:val="bottom"/>
            <w:tcBorders>
              <w:bottom w:val="single" w:sz="8" w:color="auto"/>
            </w:tcBorders>
            <w:shd w:val="clear" w:color="auto" w:fill="B6DEE8"/>
          </w:tcPr>
          <w:p>
            <w:pPr>
              <w:spacing w:after="0"/>
              <w:rPr>
                <w:sz w:val="18"/>
                <w:szCs w:val="18"/>
                <w:color w:val="auto"/>
              </w:rPr>
            </w:pPr>
          </w:p>
        </w:tc>
        <w:tc>
          <w:tcPr>
            <w:tcW w:w="960" w:type="dxa"/>
            <w:vAlign w:val="bottom"/>
            <w:tcBorders>
              <w:bottom w:val="single" w:sz="8" w:color="auto"/>
            </w:tcBorders>
            <w:shd w:val="clear" w:color="auto" w:fill="B6DEE8"/>
          </w:tcPr>
          <w:p>
            <w:pPr>
              <w:spacing w:after="0"/>
              <w:rPr>
                <w:sz w:val="18"/>
                <w:szCs w:val="18"/>
                <w:color w:val="auto"/>
              </w:rPr>
            </w:pPr>
          </w:p>
        </w:tc>
        <w:tc>
          <w:tcPr>
            <w:tcW w:w="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36,003</w:t>
            </w:r>
          </w:p>
        </w:tc>
        <w:tc>
          <w:tcPr>
            <w:tcW w:w="80" w:type="dxa"/>
            <w:vAlign w:val="bottom"/>
            <w:tcBorders>
              <w:bottom w:val="single" w:sz="8" w:color="B6DEE8"/>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300" w:type="dxa"/>
            <w:vAlign w:val="bottom"/>
            <w:tcBorders>
              <w:bottom w:val="single" w:sz="8" w:color="auto"/>
            </w:tcBorders>
            <w:shd w:val="clear" w:color="auto" w:fill="B6DEE8"/>
          </w:tcPr>
          <w:p>
            <w:pPr>
              <w:spacing w:after="0"/>
              <w:rPr>
                <w:sz w:val="18"/>
                <w:szCs w:val="18"/>
                <w:color w:val="auto"/>
              </w:rPr>
            </w:pPr>
          </w:p>
        </w:tc>
        <w:tc>
          <w:tcPr>
            <w:tcW w:w="12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300" w:type="dxa"/>
            <w:vAlign w:val="bottom"/>
            <w:tcBorders>
              <w:bottom w:val="single" w:sz="8" w:color="auto"/>
            </w:tcBorders>
            <w:shd w:val="clear" w:color="auto" w:fill="B6DEE8"/>
          </w:tcPr>
          <w:p>
            <w:pPr>
              <w:spacing w:after="0"/>
              <w:rPr>
                <w:sz w:val="18"/>
                <w:szCs w:val="18"/>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40,252</w:t>
            </w:r>
          </w:p>
        </w:tc>
        <w:tc>
          <w:tcPr>
            <w:tcW w:w="540" w:type="dxa"/>
            <w:vAlign w:val="bottom"/>
            <w:gridSpan w:val="3"/>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-170815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unrealized losses and fair values of available-for-sale investment securities that were in unrealized loss positions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0"/>
                <w:szCs w:val="20"/>
                <w:color w:val="auto"/>
              </w:rPr>
            </w:pPr>
          </w:p>
        </w:tc>
        <w:tc>
          <w:tcPr>
            <w:tcW w:w="25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10"/>
        </w:trPr>
        <w:tc>
          <w:tcPr>
            <w:tcW w:w="23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25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10"/>
        </w:trPr>
        <w:tc>
          <w:tcPr>
            <w:tcW w:w="23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-1182370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-1182370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-1182370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-1182370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-1182370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-170815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-170815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Net realized gains recorded in connection with the investments for the three and nine months ended September 30, 2025 were $0.002 million and $0.01 million, respectively, and were recorded as a component of interest income in the condensed consolidated statements of operations. Net realized gains (losses) recorded in connection with the investments for the three and nine months ended September 30, 2024 were ($0.01) million and $0.8 million, respectively, and were recorded as a component of interest income in the condensed consolidated statements of operations.</w:t>
      </w:r>
    </w:p>
    <w:p>
      <w:pPr>
        <w:spacing w:after="0" w:line="11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Accrued interest of $0.02 million and $0.1 million is included in investments within the condensed consolidated balance sheets for the periods ended September 30, 2025 and 2024, respectively.</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periods when the Company held available-for-sale investment securities, the Company did not intend to sell nor anticipate that it would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three and nine months ended September 30, 2025 and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contractual maturities of available-for-sale investment securities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tbl>
      <w:tblPr>
        <w:tblLayout w:type="fixed"/>
        <w:tblInd w:w="58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r>
      <w:tr>
        <w:trPr>
          <w:trHeight w:val="209"/>
        </w:trPr>
        <w:tc>
          <w:tcPr>
            <w:tcW w:w="37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420" w:type="dxa"/>
            <w:vAlign w:val="bottom"/>
            <w:gridSpan w:val="2"/>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40,857</w:t>
            </w:r>
          </w:p>
        </w:tc>
        <w:tc>
          <w:tcPr>
            <w:tcW w:w="760" w:type="dxa"/>
            <w:vAlign w:val="bottom"/>
            <w:gridSpan w:val="3"/>
            <w:shd w:val="clear" w:color="auto" w:fill="B6DEE8"/>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120" w:type="dxa"/>
            <w:vAlign w:val="bottom"/>
            <w:shd w:val="clear" w:color="auto" w:fill="B6DEE8"/>
          </w:tcPr>
          <w:p>
            <w:pPr>
              <w:spacing w:after="0"/>
              <w:rPr>
                <w:sz w:val="18"/>
                <w:szCs w:val="18"/>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8"/>
                <w:szCs w:val="18"/>
                <w:color w:val="auto"/>
              </w:rPr>
            </w:pPr>
          </w:p>
        </w:tc>
      </w:tr>
      <w:tr>
        <w:trPr>
          <w:trHeight w:val="250"/>
        </w:trPr>
        <w:tc>
          <w:tcPr>
            <w:tcW w:w="37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gridSpan w:val="2"/>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41,571</w:t>
            </w:r>
          </w:p>
        </w:tc>
        <w:tc>
          <w:tcPr>
            <w:tcW w:w="80" w:type="dxa"/>
            <w:vAlign w:val="bottom"/>
            <w:tcBorders>
              <w:bottom w:val="single" w:sz="8" w:color="B6DEE8"/>
            </w:tcBorders>
            <w:shd w:val="clear" w:color="auto" w:fill="B6DEE8"/>
          </w:tcPr>
          <w:p>
            <w:pPr>
              <w:spacing w:after="0"/>
              <w:rPr>
                <w:sz w:val="21"/>
                <w:szCs w:val="21"/>
                <w:color w:val="auto"/>
              </w:rPr>
            </w:pPr>
          </w:p>
        </w:tc>
        <w:tc>
          <w:tcPr>
            <w:tcW w:w="680" w:type="dxa"/>
            <w:vAlign w:val="bottom"/>
            <w:tcBorders>
              <w:bottom w:val="single" w:sz="8" w:color="auto"/>
            </w:tcBorders>
            <w:gridSpan w:val="2"/>
            <w:shd w:val="clear" w:color="auto" w:fill="B6DEE8"/>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41,846</w:t>
            </w:r>
          </w:p>
        </w:tc>
        <w:tc>
          <w:tcPr>
            <w:tcW w:w="12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prepaid expenses and other current assets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1" w:right="339" w:bottom="1440" w:gutter="0" w:footer="0" w:header="0"/>
        </w:sectPr>
      </w:pP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Partner receivables</w:t>
            </w:r>
          </w:p>
        </w:tc>
        <w:tc>
          <w:tcPr>
            <w:tcW w:w="1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191"/>
        </w:trPr>
        <w:tc>
          <w:tcPr>
            <w:tcW w:w="352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receivables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Rebate receivables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25,945</w:t>
            </w: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-719455</wp:posOffset>
            </wp:positionV>
            <wp:extent cx="641223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1"/>
        </w:trPr>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1,914</w:t>
            </w:r>
          </w:p>
        </w:tc>
      </w:tr>
      <w:tr>
        <w:trPr>
          <w:trHeight w:val="216"/>
        </w:trPr>
        <w:tc>
          <w:tcPr>
            <w:tcW w:w="5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16"/>
        </w:trPr>
        <w:tc>
          <w:tcPr>
            <w:tcW w:w="5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r>
      <w:tr>
        <w:trPr>
          <w:trHeight w:val="234"/>
        </w:trPr>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09"/>
        </w:trPr>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16,127</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140" w:space="80"/>
            <w:col w:w="3020"/>
          </w:cols>
          <w:pgMar w:left="320" w:top="981" w:right="339" w:bottom="1440" w:gutter="0" w:footer="0" w:header="0"/>
          <w:type w:val="continuous"/>
        </w:sect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Partner receivables represent amounts due from strategic partners for contractual reimbursements and credits earned under partnership agreements, primarily related to the Company's checking product. These receivables increased $6.5 million from December 31, 2024, primarily due to increases in transaction volume in addition to the timing of payments which are typically received during the fourth quarter of each year. Partner receivables are typically collected within 60-90 days of the contract period and are not subject to significant credit risk.</w:t>
      </w:r>
    </w:p>
    <w:p>
      <w:pPr>
        <w:spacing w:after="0" w:line="1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Prepaid expenses primarily consist of prepaid software subscriptions, insurance premiums, marketing commitments, and professional services. These amounts are amortized to expense over the period benefited, typically 12 months or less. The Company evaluates prepaid expenses and other current assets for realizability on a quarterly basis.</w:t>
      </w:r>
    </w:p>
    <w:p>
      <w:pPr>
        <w:spacing w:after="0" w:line="9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Insurance receivables relate to insurance claims filed during the nine months ended September 30, 2025 related to litigation and settlement-related expenses. The Company expects to collect substantially all insurance receivables within the next 12 months.</w:t>
      </w:r>
    </w:p>
    <w:p>
      <w:pPr>
        <w:spacing w:after="0" w:line="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Rebate receivables represent volume-based rebates and credits earned from technology vendors and service providers. The decrease of $4.9 million from December 31, 2024 reflects the collection of year-end 2024 vendor rebates during the first nine months of 2025, partially offset by rebates earned during the period.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ExtraCash Receivables, Net</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ExtraCash receivables, net, represent outstanding ExtraCash originations, processing fees, tips and overdraft service fees, less an allowance for credit losses.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September 30,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ExtraCash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60" w:type="dxa"/>
            <w:vAlign w:val="bottom"/>
          </w:tcPr>
          <w:p>
            <w:pPr>
              <w:spacing w:after="0"/>
              <w:rPr>
                <w:sz w:val="18"/>
                <w:szCs w:val="18"/>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ExtraCash</w:t>
            </w:r>
          </w:p>
        </w:tc>
      </w:tr>
      <w:tr>
        <w:trPr>
          <w:trHeight w:val="211"/>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8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1620" w:type="dxa"/>
            <w:vAlign w:val="bottom"/>
            <w:shd w:val="clear" w:color="auto" w:fill="B6DEE8"/>
          </w:tcPr>
          <w:p>
            <w:pPr>
              <w:spacing w:after="0"/>
              <w:rPr>
                <w:sz w:val="17"/>
                <w:szCs w:val="17"/>
                <w:color w:val="auto"/>
              </w:rPr>
            </w:pPr>
          </w:p>
        </w:tc>
        <w:tc>
          <w:tcPr>
            <w:tcW w:w="1780" w:type="dxa"/>
            <w:vAlign w:val="bottom"/>
            <w:gridSpan w:val="2"/>
            <w:shd w:val="clear" w:color="auto" w:fill="B6DEE8"/>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201,228</w:t>
            </w:r>
          </w:p>
        </w:tc>
        <w:tc>
          <w:tcPr>
            <w:tcW w:w="580" w:type="dxa"/>
            <w:vAlign w:val="bottom"/>
            <w:gridSpan w:val="3"/>
            <w:shd w:val="clear" w:color="auto" w:fill="B6DEE8"/>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B6DEE8"/>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(2,755)</w:t>
            </w:r>
          </w:p>
        </w:tc>
        <w:tc>
          <w:tcPr>
            <w:tcW w:w="20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198,473</w:t>
            </w:r>
          </w:p>
        </w:tc>
        <w:tc>
          <w:tcPr>
            <w:tcW w:w="100" w:type="dxa"/>
            <w:vAlign w:val="bottom"/>
            <w:shd w:val="clear" w:color="auto" w:fill="B6DEE8"/>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1620" w:type="dxa"/>
            <w:vAlign w:val="bottom"/>
            <w:shd w:val="clear" w:color="auto" w:fill="B6DEE8"/>
          </w:tcPr>
          <w:p>
            <w:pPr>
              <w:spacing w:after="0"/>
              <w:rPr>
                <w:sz w:val="18"/>
                <w:szCs w:val="18"/>
                <w:color w:val="auto"/>
              </w:rPr>
            </w:pPr>
          </w:p>
        </w:tc>
        <w:tc>
          <w:tcPr>
            <w:tcW w:w="16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(9,482)</w:t>
            </w:r>
          </w:p>
        </w:tc>
        <w:tc>
          <w:tcPr>
            <w:tcW w:w="2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1620" w:type="dxa"/>
            <w:vAlign w:val="bottom"/>
            <w:shd w:val="clear" w:color="auto" w:fill="B6DEE8"/>
          </w:tcPr>
          <w:p>
            <w:pPr>
              <w:spacing w:after="0"/>
              <w:rPr>
                <w:sz w:val="18"/>
                <w:szCs w:val="18"/>
                <w:color w:val="auto"/>
              </w:rPr>
            </w:pPr>
          </w:p>
        </w:tc>
        <w:tc>
          <w:tcPr>
            <w:tcW w:w="16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(8,262)</w:t>
            </w:r>
          </w:p>
        </w:tc>
        <w:tc>
          <w:tcPr>
            <w:tcW w:w="2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308,511</w:t>
            </w:r>
          </w:p>
        </w:tc>
        <w:tc>
          <w:tcPr>
            <w:tcW w:w="10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(40,217)</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268,294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51"/>
        </w:trPr>
        <w:tc>
          <w:tcPr>
            <w:tcW w:w="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-1053465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December 31,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ExtraCash</w:t>
            </w: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ExtraCash</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r>
      <w:tr>
        <w:trPr>
          <w:trHeight w:val="211"/>
        </w:trPr>
        <w:tc>
          <w:tcPr>
            <w:tcW w:w="5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38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8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2620" w:type="dxa"/>
            <w:vAlign w:val="bottom"/>
            <w:shd w:val="clear" w:color="auto" w:fill="B6DEE8"/>
          </w:tcPr>
          <w:p>
            <w:pPr>
              <w:spacing w:after="0"/>
              <w:rPr>
                <w:sz w:val="17"/>
                <w:szCs w:val="17"/>
                <w:color w:val="auto"/>
              </w:rPr>
            </w:pPr>
          </w:p>
        </w:tc>
        <w:tc>
          <w:tcPr>
            <w:tcW w:w="840" w:type="dxa"/>
            <w:vAlign w:val="bottom"/>
            <w:gridSpan w:val="2"/>
            <w:shd w:val="clear" w:color="auto" w:fill="B6DEE8"/>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B6DEE8"/>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142,623</w:t>
            </w:r>
          </w:p>
        </w:tc>
        <w:tc>
          <w:tcPr>
            <w:tcW w:w="120" w:type="dxa"/>
            <w:vAlign w:val="bottom"/>
            <w:shd w:val="clear" w:color="auto" w:fill="B6DEE8"/>
          </w:tcPr>
          <w:p>
            <w:pPr>
              <w:spacing w:after="0"/>
              <w:rPr>
                <w:sz w:val="17"/>
                <w:szCs w:val="17"/>
                <w:color w:val="auto"/>
              </w:rPr>
            </w:pPr>
          </w:p>
        </w:tc>
        <w:tc>
          <w:tcPr>
            <w:tcW w:w="380" w:type="dxa"/>
            <w:vAlign w:val="bottom"/>
            <w:shd w:val="clear" w:color="auto" w:fill="B6DEE8"/>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B6DEE8"/>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(2,112)</w:t>
            </w:r>
          </w:p>
        </w:tc>
        <w:tc>
          <w:tcPr>
            <w:tcW w:w="320" w:type="dxa"/>
            <w:vAlign w:val="bottom"/>
            <w:gridSpan w:val="2"/>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B6DEE8"/>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140,511</w:t>
            </w: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29,975</w:t>
            </w:r>
          </w:p>
        </w:tc>
      </w:tr>
      <w:tr>
        <w:trPr>
          <w:trHeight w:val="216"/>
        </w:trPr>
        <w:tc>
          <w:tcPr>
            <w:tcW w:w="580" w:type="dxa"/>
            <w:vAlign w:val="bottom"/>
          </w:tcPr>
          <w:p>
            <w:pPr>
              <w:spacing w:after="0"/>
              <w:rPr>
                <w:sz w:val="18"/>
                <w:szCs w:val="18"/>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2620" w:type="dxa"/>
            <w:vAlign w:val="bottom"/>
            <w:shd w:val="clear" w:color="auto" w:fill="B6DEE8"/>
          </w:tcPr>
          <w:p>
            <w:pPr>
              <w:spacing w:after="0"/>
              <w:rPr>
                <w:sz w:val="18"/>
                <w:szCs w:val="18"/>
                <w:color w:val="auto"/>
              </w:rPr>
            </w:pPr>
          </w:p>
        </w:tc>
        <w:tc>
          <w:tcPr>
            <w:tcW w:w="7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8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7,882</w:t>
            </w: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(4,937)</w:t>
            </w: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2,945</w:t>
            </w: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580" w:type="dxa"/>
            <w:vAlign w:val="bottom"/>
          </w:tcPr>
          <w:p>
            <w:pPr>
              <w:spacing w:after="0"/>
              <w:rPr>
                <w:sz w:val="18"/>
                <w:szCs w:val="18"/>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2620" w:type="dxa"/>
            <w:vAlign w:val="bottom"/>
            <w:shd w:val="clear" w:color="auto" w:fill="B6DEE8"/>
          </w:tcPr>
          <w:p>
            <w:pPr>
              <w:spacing w:after="0"/>
              <w:rPr>
                <w:sz w:val="18"/>
                <w:szCs w:val="18"/>
                <w:color w:val="auto"/>
              </w:rPr>
            </w:pPr>
          </w:p>
        </w:tc>
        <w:tc>
          <w:tcPr>
            <w:tcW w:w="7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(4,719)</w:t>
            </w: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(22,703)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175,857</w:t>
            </w: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60" w:type="dxa"/>
            <w:vAlign w:val="bottom"/>
            <w:tcBorders>
              <w:top w:val="single" w:sz="8" w:color="auto"/>
              <w:bottom w:val="single" w:sz="8" w:color="auto"/>
            </w:tcBorders>
            <w:gridSpan w:val="3"/>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8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9"/>
              </w:rPr>
              <w:t>The roll-forward of the allowance for credit losses is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2025</w:t>
            </w:r>
          </w:p>
        </w:tc>
        <w:tc>
          <w:tcPr>
            <w:tcW w:w="7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7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(60,436)</w:t>
            </w:r>
          </w:p>
        </w:tc>
      </w:tr>
      <w:tr>
        <w:trPr>
          <w:trHeight w:val="250"/>
        </w:trPr>
        <w:tc>
          <w:tcPr>
            <w:tcW w:w="580" w:type="dxa"/>
            <w:vAlign w:val="bottom"/>
          </w:tcPr>
          <w:p>
            <w:pPr>
              <w:spacing w:after="0"/>
              <w:rPr>
                <w:sz w:val="21"/>
                <w:szCs w:val="21"/>
                <w:color w:val="auto"/>
              </w:rPr>
            </w:pPr>
          </w:p>
        </w:tc>
        <w:tc>
          <w:tcPr>
            <w:tcW w:w="442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September 30, 2025</w:t>
            </w:r>
          </w:p>
        </w:tc>
        <w:tc>
          <w:tcPr>
            <w:tcW w:w="700" w:type="dxa"/>
            <w:vAlign w:val="bottom"/>
            <w:tcBorders>
              <w:top w:val="single" w:sz="8" w:color="auto"/>
              <w:bottom w:val="single" w:sz="8" w:color="auto"/>
            </w:tcBorders>
            <w:shd w:val="clear" w:color="auto" w:fill="B6DEE8"/>
          </w:tcPr>
          <w:p>
            <w:pPr>
              <w:spacing w:after="0"/>
              <w:rPr>
                <w:sz w:val="21"/>
                <w:szCs w:val="21"/>
                <w:color w:val="auto"/>
              </w:rPr>
            </w:pPr>
          </w:p>
        </w:tc>
        <w:tc>
          <w:tcPr>
            <w:tcW w:w="140" w:type="dxa"/>
            <w:vAlign w:val="bottom"/>
            <w:tcBorders>
              <w:top w:val="single" w:sz="8" w:color="auto"/>
              <w:bottom w:val="single" w:sz="8" w:color="auto"/>
            </w:tcBorders>
            <w:shd w:val="clear" w:color="auto" w:fill="B6DEE8"/>
          </w:tcPr>
          <w:p>
            <w:pPr>
              <w:spacing w:after="0"/>
              <w:rPr>
                <w:sz w:val="21"/>
                <w:szCs w:val="21"/>
                <w:color w:val="auto"/>
              </w:rPr>
            </w:pPr>
          </w:p>
        </w:tc>
        <w:tc>
          <w:tcPr>
            <w:tcW w:w="1180" w:type="dxa"/>
            <w:vAlign w:val="bottom"/>
            <w:tcBorders>
              <w:top w:val="single" w:sz="8" w:color="auto"/>
              <w:bottom w:val="single" w:sz="8" w:color="auto"/>
            </w:tcBorders>
            <w:shd w:val="clear" w:color="auto" w:fill="B6DEE8"/>
          </w:tcPr>
          <w:p>
            <w:pPr>
              <w:spacing w:after="0"/>
              <w:rPr>
                <w:sz w:val="21"/>
                <w:szCs w:val="21"/>
                <w:color w:val="auto"/>
              </w:rPr>
            </w:pPr>
          </w:p>
        </w:tc>
        <w:tc>
          <w:tcPr>
            <w:tcW w:w="100" w:type="dxa"/>
            <w:vAlign w:val="bottom"/>
            <w:tcBorders>
              <w:top w:val="single" w:sz="8" w:color="auto"/>
              <w:bottom w:val="single" w:sz="8" w:color="auto"/>
            </w:tcBorders>
            <w:shd w:val="clear" w:color="auto" w:fill="B6DEE8"/>
          </w:tcPr>
          <w:p>
            <w:pPr>
              <w:spacing w:after="0"/>
              <w:rPr>
                <w:sz w:val="21"/>
                <w:szCs w:val="21"/>
                <w:color w:val="auto"/>
              </w:rPr>
            </w:pPr>
          </w:p>
        </w:tc>
        <w:tc>
          <w:tcPr>
            <w:tcW w:w="120" w:type="dxa"/>
            <w:vAlign w:val="bottom"/>
            <w:tcBorders>
              <w:top w:val="single" w:sz="8" w:color="auto"/>
              <w:bottom w:val="single" w:sz="8" w:color="auto"/>
            </w:tcBorders>
            <w:shd w:val="clear" w:color="auto" w:fill="B6DEE8"/>
          </w:tcPr>
          <w:p>
            <w:pPr>
              <w:spacing w:after="0"/>
              <w:rPr>
                <w:sz w:val="21"/>
                <w:szCs w:val="21"/>
                <w:color w:val="auto"/>
              </w:rPr>
            </w:pPr>
          </w:p>
        </w:tc>
        <w:tc>
          <w:tcPr>
            <w:tcW w:w="380" w:type="dxa"/>
            <w:vAlign w:val="bottom"/>
            <w:tcBorders>
              <w:top w:val="single" w:sz="8" w:color="auto"/>
              <w:bottom w:val="single" w:sz="8" w:color="auto"/>
            </w:tcBorders>
            <w:shd w:val="clear" w:color="auto" w:fill="B6DEE8"/>
          </w:tcPr>
          <w:p>
            <w:pPr>
              <w:spacing w:after="0"/>
              <w:rPr>
                <w:sz w:val="21"/>
                <w:szCs w:val="21"/>
                <w:color w:val="auto"/>
              </w:rPr>
            </w:pPr>
          </w:p>
        </w:tc>
        <w:tc>
          <w:tcPr>
            <w:tcW w:w="1440" w:type="dxa"/>
            <w:vAlign w:val="bottom"/>
            <w:tcBorders>
              <w:top w:val="single" w:sz="8" w:color="auto"/>
              <w:bottom w:val="single" w:sz="8" w:color="auto"/>
            </w:tcBorders>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shd w:val="clear" w:color="auto" w:fill="B6DEE8"/>
          </w:tcPr>
          <w:p>
            <w:pPr>
              <w:spacing w:after="0"/>
              <w:rPr>
                <w:sz w:val="21"/>
                <w:szCs w:val="21"/>
                <w:color w:val="auto"/>
              </w:rPr>
            </w:pPr>
          </w:p>
        </w:tc>
        <w:tc>
          <w:tcPr>
            <w:tcW w:w="220" w:type="dxa"/>
            <w:vAlign w:val="bottom"/>
            <w:tcBorders>
              <w:top w:val="single" w:sz="8" w:color="auto"/>
              <w:bottom w:val="single" w:sz="8" w:color="auto"/>
            </w:tcBorders>
            <w:shd w:val="clear" w:color="auto" w:fill="B6DEE8"/>
          </w:tcPr>
          <w:p>
            <w:pPr>
              <w:spacing w:after="0"/>
              <w:rPr>
                <w:sz w:val="21"/>
                <w:szCs w:val="21"/>
                <w:color w:val="auto"/>
              </w:rPr>
            </w:pPr>
          </w:p>
        </w:tc>
        <w:tc>
          <w:tcPr>
            <w:tcW w:w="100" w:type="dxa"/>
            <w:vAlign w:val="bottom"/>
            <w:tcBorders>
              <w:top w:val="single" w:sz="8" w:color="auto"/>
              <w:bottom w:val="single" w:sz="8" w:color="auto"/>
            </w:tcBorders>
            <w:shd w:val="clear" w:color="auto" w:fill="B6DEE8"/>
          </w:tcPr>
          <w:p>
            <w:pPr>
              <w:spacing w:after="0"/>
              <w:rPr>
                <w:sz w:val="21"/>
                <w:szCs w:val="21"/>
                <w:color w:val="auto"/>
              </w:rPr>
            </w:pPr>
          </w:p>
        </w:tc>
        <w:tc>
          <w:tcPr>
            <w:tcW w:w="11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40,217</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2024</w:t>
            </w:r>
          </w:p>
        </w:tc>
        <w:tc>
          <w:tcPr>
            <w:tcW w:w="7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20,310</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7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(46,632)</w:t>
            </w:r>
          </w:p>
        </w:tc>
      </w:tr>
      <w:tr>
        <w:trPr>
          <w:trHeight w:val="250"/>
        </w:trPr>
        <w:tc>
          <w:tcPr>
            <w:tcW w:w="580" w:type="dxa"/>
            <w:vAlign w:val="bottom"/>
          </w:tcPr>
          <w:p>
            <w:pPr>
              <w:spacing w:after="0"/>
              <w:rPr>
                <w:sz w:val="21"/>
                <w:szCs w:val="21"/>
                <w:color w:val="auto"/>
              </w:rPr>
            </w:pPr>
          </w:p>
        </w:tc>
        <w:tc>
          <w:tcPr>
            <w:tcW w:w="442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September 30, 2024</w:t>
            </w:r>
          </w:p>
        </w:tc>
        <w:tc>
          <w:tcPr>
            <w:tcW w:w="700" w:type="dxa"/>
            <w:vAlign w:val="bottom"/>
            <w:tcBorders>
              <w:top w:val="single" w:sz="8" w:color="auto"/>
              <w:bottom w:val="single" w:sz="8" w:color="auto"/>
            </w:tcBorders>
            <w:shd w:val="clear" w:color="auto" w:fill="B6DEE8"/>
          </w:tcPr>
          <w:p>
            <w:pPr>
              <w:spacing w:after="0"/>
              <w:rPr>
                <w:sz w:val="21"/>
                <w:szCs w:val="21"/>
                <w:color w:val="auto"/>
              </w:rPr>
            </w:pPr>
          </w:p>
        </w:tc>
        <w:tc>
          <w:tcPr>
            <w:tcW w:w="140" w:type="dxa"/>
            <w:vAlign w:val="bottom"/>
            <w:tcBorders>
              <w:top w:val="single" w:sz="8" w:color="auto"/>
              <w:bottom w:val="single" w:sz="8" w:color="auto"/>
            </w:tcBorders>
            <w:shd w:val="clear" w:color="auto" w:fill="B6DEE8"/>
          </w:tcPr>
          <w:p>
            <w:pPr>
              <w:spacing w:after="0"/>
              <w:rPr>
                <w:sz w:val="21"/>
                <w:szCs w:val="21"/>
                <w:color w:val="auto"/>
              </w:rPr>
            </w:pPr>
          </w:p>
        </w:tc>
        <w:tc>
          <w:tcPr>
            <w:tcW w:w="1180" w:type="dxa"/>
            <w:vAlign w:val="bottom"/>
            <w:tcBorders>
              <w:top w:val="single" w:sz="8" w:color="auto"/>
              <w:bottom w:val="single" w:sz="8" w:color="auto"/>
            </w:tcBorders>
            <w:shd w:val="clear" w:color="auto" w:fill="B6DEE8"/>
          </w:tcPr>
          <w:p>
            <w:pPr>
              <w:spacing w:after="0"/>
              <w:rPr>
                <w:sz w:val="21"/>
                <w:szCs w:val="21"/>
                <w:color w:val="auto"/>
              </w:rPr>
            </w:pPr>
          </w:p>
        </w:tc>
        <w:tc>
          <w:tcPr>
            <w:tcW w:w="100" w:type="dxa"/>
            <w:vAlign w:val="bottom"/>
            <w:tcBorders>
              <w:top w:val="single" w:sz="8" w:color="auto"/>
              <w:bottom w:val="single" w:sz="8" w:color="auto"/>
            </w:tcBorders>
            <w:shd w:val="clear" w:color="auto" w:fill="B6DEE8"/>
          </w:tcPr>
          <w:p>
            <w:pPr>
              <w:spacing w:after="0"/>
              <w:rPr>
                <w:sz w:val="21"/>
                <w:szCs w:val="21"/>
                <w:color w:val="auto"/>
              </w:rPr>
            </w:pPr>
          </w:p>
        </w:tc>
        <w:tc>
          <w:tcPr>
            <w:tcW w:w="120" w:type="dxa"/>
            <w:vAlign w:val="bottom"/>
            <w:tcBorders>
              <w:top w:val="single" w:sz="8" w:color="auto"/>
              <w:bottom w:val="single" w:sz="8" w:color="auto"/>
            </w:tcBorders>
            <w:shd w:val="clear" w:color="auto" w:fill="B6DEE8"/>
          </w:tcPr>
          <w:p>
            <w:pPr>
              <w:spacing w:after="0"/>
              <w:rPr>
                <w:sz w:val="21"/>
                <w:szCs w:val="21"/>
                <w:color w:val="auto"/>
              </w:rPr>
            </w:pPr>
          </w:p>
        </w:tc>
        <w:tc>
          <w:tcPr>
            <w:tcW w:w="380" w:type="dxa"/>
            <w:vAlign w:val="bottom"/>
            <w:tcBorders>
              <w:top w:val="single" w:sz="8" w:color="auto"/>
              <w:bottom w:val="single" w:sz="8" w:color="auto"/>
            </w:tcBorders>
            <w:shd w:val="clear" w:color="auto" w:fill="B6DEE8"/>
          </w:tcPr>
          <w:p>
            <w:pPr>
              <w:spacing w:after="0"/>
              <w:rPr>
                <w:sz w:val="21"/>
                <w:szCs w:val="21"/>
                <w:color w:val="auto"/>
              </w:rPr>
            </w:pPr>
          </w:p>
        </w:tc>
        <w:tc>
          <w:tcPr>
            <w:tcW w:w="1440" w:type="dxa"/>
            <w:vAlign w:val="bottom"/>
            <w:tcBorders>
              <w:top w:val="single" w:sz="8" w:color="auto"/>
              <w:bottom w:val="single" w:sz="8" w:color="auto"/>
            </w:tcBorders>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shd w:val="clear" w:color="auto" w:fill="B6DEE8"/>
          </w:tcPr>
          <w:p>
            <w:pPr>
              <w:spacing w:after="0"/>
              <w:rPr>
                <w:sz w:val="21"/>
                <w:szCs w:val="21"/>
                <w:color w:val="auto"/>
              </w:rPr>
            </w:pPr>
          </w:p>
        </w:tc>
        <w:tc>
          <w:tcPr>
            <w:tcW w:w="220" w:type="dxa"/>
            <w:vAlign w:val="bottom"/>
            <w:tcBorders>
              <w:top w:val="single" w:sz="8" w:color="auto"/>
              <w:bottom w:val="single" w:sz="8" w:color="auto"/>
            </w:tcBorders>
            <w:shd w:val="clear" w:color="auto" w:fill="B6DEE8"/>
          </w:tcPr>
          <w:p>
            <w:pPr>
              <w:spacing w:after="0"/>
              <w:rPr>
                <w:sz w:val="21"/>
                <w:szCs w:val="21"/>
                <w:color w:val="auto"/>
              </w:rPr>
            </w:pPr>
          </w:p>
        </w:tc>
        <w:tc>
          <w:tcPr>
            <w:tcW w:w="100" w:type="dxa"/>
            <w:vAlign w:val="bottom"/>
            <w:tcBorders>
              <w:top w:val="single" w:sz="8" w:color="auto"/>
              <w:bottom w:val="single" w:sz="8" w:color="auto"/>
            </w:tcBorders>
            <w:shd w:val="clear" w:color="auto" w:fill="B6DEE8"/>
          </w:tcPr>
          <w:p>
            <w:pPr>
              <w:spacing w:after="0"/>
              <w:rPr>
                <w:sz w:val="21"/>
                <w:szCs w:val="21"/>
                <w:color w:val="auto"/>
              </w:rPr>
            </w:pPr>
          </w:p>
        </w:tc>
        <w:tc>
          <w:tcPr>
            <w:tcW w:w="11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21,133</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-2228215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-2228215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-2228215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-882015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provision for credit losses for the nine months ended September 30, 2025 increased compared to the period ended September 30, 2024, primarily due to ExtraCash origination volume growth from approximately $3.6 billion to $5.3 billion, driven by strong Member demand and platform expansion. Credit performance evolved as expected with portfolio maturation, reflecting natural seasoning dynamics and the Company's strategic emphasis on maximizing gross profit dollars. Loss rates increased moderately in line with anticipated seasonal patterns and portfolio scaling. The increase in write-offs for the nine months ended September 30, 2025 was similarly driven by higher origination volume and the maturing credit profile of the expanding portfolio.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net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9"/>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3820" w:type="dxa"/>
            <w:vAlign w:val="bottom"/>
            <w:gridSpan w:val="9"/>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24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140" w:type="dxa"/>
            <w:vAlign w:val="bottom"/>
          </w:tcPr>
          <w:p>
            <w:pPr>
              <w:spacing w:after="0"/>
              <w:rPr>
                <w:sz w:val="18"/>
                <w:szCs w:val="18"/>
                <w:color w:val="auto"/>
              </w:rPr>
            </w:pPr>
          </w:p>
        </w:tc>
        <w:tc>
          <w:tcPr>
            <w:tcW w:w="16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20" w:type="dxa"/>
            <w:vAlign w:val="bottom"/>
          </w:tcPr>
          <w:p>
            <w:pPr>
              <w:spacing w:after="0"/>
              <w:rPr>
                <w:sz w:val="20"/>
                <w:szCs w:val="20"/>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240" w:type="dxa"/>
            <w:vAlign w:val="bottom"/>
          </w:tcPr>
          <w:p>
            <w:pPr>
              <w:spacing w:after="0"/>
              <w:rPr>
                <w:sz w:val="20"/>
                <w:szCs w:val="20"/>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w:t>
            </w:r>
          </w:p>
        </w:tc>
        <w:tc>
          <w:tcPr>
            <w:tcW w:w="140" w:type="dxa"/>
            <w:vAlign w:val="bottom"/>
          </w:tcPr>
          <w:p>
            <w:pPr>
              <w:spacing w:after="0"/>
              <w:rPr>
                <w:sz w:val="20"/>
                <w:szCs w:val="20"/>
                <w:color w:val="auto"/>
              </w:rPr>
            </w:pPr>
          </w:p>
        </w:tc>
        <w:tc>
          <w:tcPr>
            <w:tcW w:w="1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2120" w:type="dxa"/>
            <w:vAlign w:val="bottom"/>
            <w:shd w:val="clear" w:color="auto" w:fill="B6DEE8"/>
          </w:tcPr>
          <w:p>
            <w:pPr>
              <w:spacing w:after="0" w:line="191" w:lineRule="exact"/>
              <w:rPr>
                <w:sz w:val="20"/>
                <w:szCs w:val="20"/>
                <w:color w:val="auto"/>
              </w:rPr>
            </w:pPr>
            <w:r>
              <w:rPr>
                <w:rFonts w:ascii="Times New Roman" w:cs="Times New Roman" w:eastAsia="Times New Roman" w:hAnsi="Times New Roman"/>
                <w:sz w:val="18"/>
                <w:szCs w:val="18"/>
                <w:color w:val="auto"/>
              </w:rPr>
              <w:t>Internally developed</w:t>
            </w:r>
          </w:p>
        </w:tc>
        <w:tc>
          <w:tcPr>
            <w:tcW w:w="1000" w:type="dxa"/>
            <w:vAlign w:val="bottom"/>
            <w:tcBorders>
              <w:top w:val="single" w:sz="8" w:color="auto"/>
            </w:tcBorders>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140" w:type="dxa"/>
            <w:vAlign w:val="bottom"/>
            <w:tcBorders>
              <w:top w:val="single" w:sz="8" w:color="auto"/>
            </w:tcBorders>
            <w:shd w:val="clear" w:color="auto" w:fill="B6DEE8"/>
          </w:tcPr>
          <w:p>
            <w:pPr>
              <w:spacing w:after="0"/>
              <w:rPr>
                <w:sz w:val="16"/>
                <w:szCs w:val="16"/>
                <w:color w:val="auto"/>
              </w:rPr>
            </w:pPr>
          </w:p>
        </w:tc>
        <w:tc>
          <w:tcPr>
            <w:tcW w:w="780" w:type="dxa"/>
            <w:vAlign w:val="bottom"/>
            <w:tcBorders>
              <w:top w:val="single" w:sz="8" w:color="auto"/>
            </w:tcBorders>
            <w:shd w:val="clear" w:color="auto" w:fill="B6DEE8"/>
          </w:tcPr>
          <w:p>
            <w:pPr>
              <w:spacing w:after="0"/>
              <w:rPr>
                <w:sz w:val="16"/>
                <w:szCs w:val="16"/>
                <w:color w:val="auto"/>
              </w:rPr>
            </w:pPr>
          </w:p>
        </w:tc>
        <w:tc>
          <w:tcPr>
            <w:tcW w:w="80" w:type="dxa"/>
            <w:vAlign w:val="bottom"/>
            <w:shd w:val="clear" w:color="auto" w:fill="B6DEE8"/>
          </w:tcPr>
          <w:p>
            <w:pPr>
              <w:spacing w:after="0"/>
              <w:rPr>
                <w:sz w:val="16"/>
                <w:szCs w:val="16"/>
                <w:color w:val="auto"/>
              </w:rPr>
            </w:pPr>
          </w:p>
        </w:tc>
        <w:tc>
          <w:tcPr>
            <w:tcW w:w="320" w:type="dxa"/>
            <w:vAlign w:val="bottom"/>
            <w:tcBorders>
              <w:top w:val="single" w:sz="8" w:color="auto"/>
            </w:tcBorders>
            <w:shd w:val="clear" w:color="auto" w:fill="B6DEE8"/>
          </w:tcPr>
          <w:p>
            <w:pPr>
              <w:spacing w:after="0"/>
              <w:rPr>
                <w:sz w:val="16"/>
                <w:szCs w:val="16"/>
                <w:color w:val="auto"/>
              </w:rPr>
            </w:pPr>
          </w:p>
        </w:tc>
        <w:tc>
          <w:tcPr>
            <w:tcW w:w="68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240" w:type="dxa"/>
            <w:vAlign w:val="bottom"/>
            <w:tcBorders>
              <w:top w:val="single" w:sz="8" w:color="auto"/>
            </w:tcBorders>
            <w:shd w:val="clear" w:color="auto" w:fill="B6DEE8"/>
          </w:tcPr>
          <w:p>
            <w:pPr>
              <w:spacing w:after="0"/>
              <w:rPr>
                <w:sz w:val="16"/>
                <w:szCs w:val="16"/>
                <w:color w:val="auto"/>
              </w:rPr>
            </w:pPr>
          </w:p>
        </w:tc>
        <w:tc>
          <w:tcPr>
            <w:tcW w:w="940" w:type="dxa"/>
            <w:vAlign w:val="bottom"/>
            <w:tcBorders>
              <w:top w:val="single" w:sz="8" w:color="auto"/>
            </w:tcBorders>
            <w:shd w:val="clear" w:color="auto" w:fill="B6DEE8"/>
          </w:tcPr>
          <w:p>
            <w:pPr>
              <w:spacing w:after="0"/>
              <w:rPr>
                <w:sz w:val="16"/>
                <w:szCs w:val="16"/>
                <w:color w:val="auto"/>
              </w:rPr>
            </w:pPr>
          </w:p>
        </w:tc>
        <w:tc>
          <w:tcPr>
            <w:tcW w:w="80" w:type="dxa"/>
            <w:vAlign w:val="bottom"/>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120" w:type="dxa"/>
            <w:vAlign w:val="bottom"/>
            <w:tcBorders>
              <w:top w:val="single" w:sz="8" w:color="auto"/>
            </w:tcBorders>
            <w:shd w:val="clear" w:color="auto" w:fill="B6DEE8"/>
          </w:tcPr>
          <w:p>
            <w:pPr>
              <w:spacing w:after="0"/>
              <w:rPr>
                <w:sz w:val="16"/>
                <w:szCs w:val="16"/>
                <w:color w:val="auto"/>
              </w:rPr>
            </w:pPr>
          </w:p>
        </w:tc>
        <w:tc>
          <w:tcPr>
            <w:tcW w:w="980" w:type="dxa"/>
            <w:vAlign w:val="bottom"/>
            <w:tcBorders>
              <w:top w:val="single" w:sz="8" w:color="auto"/>
            </w:tcBorders>
            <w:shd w:val="clear" w:color="auto" w:fill="B6DEE8"/>
          </w:tcPr>
          <w:p>
            <w:pPr>
              <w:spacing w:after="0"/>
              <w:rPr>
                <w:sz w:val="16"/>
                <w:szCs w:val="16"/>
                <w:color w:val="auto"/>
              </w:rPr>
            </w:pPr>
          </w:p>
        </w:tc>
        <w:tc>
          <w:tcPr>
            <w:tcW w:w="80" w:type="dxa"/>
            <w:vAlign w:val="bottom"/>
            <w:shd w:val="clear" w:color="auto" w:fill="B6DEE8"/>
          </w:tcPr>
          <w:p>
            <w:pPr>
              <w:spacing w:after="0"/>
              <w:rPr>
                <w:sz w:val="16"/>
                <w:szCs w:val="16"/>
                <w:color w:val="auto"/>
              </w:rPr>
            </w:pPr>
          </w:p>
        </w:tc>
        <w:tc>
          <w:tcPr>
            <w:tcW w:w="220" w:type="dxa"/>
            <w:vAlign w:val="bottom"/>
            <w:tcBorders>
              <w:top w:val="single" w:sz="8" w:color="auto"/>
            </w:tcBorders>
            <w:shd w:val="clear" w:color="auto" w:fill="B6DEE8"/>
          </w:tcPr>
          <w:p>
            <w:pPr>
              <w:spacing w:after="0"/>
              <w:rPr>
                <w:sz w:val="16"/>
                <w:szCs w:val="16"/>
                <w:color w:val="auto"/>
              </w:rPr>
            </w:pPr>
          </w:p>
        </w:tc>
        <w:tc>
          <w:tcPr>
            <w:tcW w:w="700" w:type="dxa"/>
            <w:vAlign w:val="bottom"/>
            <w:tcBorders>
              <w:top w:val="single" w:sz="8" w:color="auto"/>
            </w:tcBorders>
            <w:shd w:val="clear" w:color="auto" w:fill="B6DEE8"/>
          </w:tcPr>
          <w:p>
            <w:pPr>
              <w:spacing w:after="0"/>
              <w:rPr>
                <w:sz w:val="16"/>
                <w:szCs w:val="16"/>
                <w:color w:val="auto"/>
              </w:rPr>
            </w:pPr>
          </w:p>
        </w:tc>
        <w:tc>
          <w:tcPr>
            <w:tcW w:w="80" w:type="dxa"/>
            <w:vAlign w:val="bottom"/>
            <w:shd w:val="clear" w:color="auto" w:fill="B6DEE8"/>
          </w:tcPr>
          <w:p>
            <w:pPr>
              <w:spacing w:after="0"/>
              <w:rPr>
                <w:sz w:val="16"/>
                <w:szCs w:val="16"/>
                <w:color w:val="auto"/>
              </w:rPr>
            </w:pPr>
          </w:p>
        </w:tc>
        <w:tc>
          <w:tcPr>
            <w:tcW w:w="140" w:type="dxa"/>
            <w:vAlign w:val="bottom"/>
            <w:tcBorders>
              <w:top w:val="single" w:sz="8" w:color="auto"/>
            </w:tcBorders>
            <w:shd w:val="clear" w:color="auto" w:fill="B6DEE8"/>
          </w:tcPr>
          <w:p>
            <w:pPr>
              <w:spacing w:after="0"/>
              <w:rPr>
                <w:sz w:val="16"/>
                <w:szCs w:val="16"/>
                <w:color w:val="auto"/>
              </w:rPr>
            </w:pPr>
          </w:p>
        </w:tc>
        <w:tc>
          <w:tcPr>
            <w:tcW w:w="96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rPr>
              <w:t>3.0 Years</w:t>
            </w: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32,069</w:t>
            </w:r>
          </w:p>
        </w:tc>
        <w:tc>
          <w:tcPr>
            <w:tcW w:w="3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(18,186)</w:t>
            </w: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13,883</w:t>
            </w:r>
          </w:p>
        </w:tc>
        <w:tc>
          <w:tcPr>
            <w:tcW w:w="120" w:type="dxa"/>
            <w:vAlign w:val="bottom"/>
            <w:shd w:val="clear" w:color="auto" w:fill="B6DEE8"/>
          </w:tcPr>
          <w:p>
            <w:pPr>
              <w:spacing w:after="0"/>
              <w:rPr>
                <w:sz w:val="20"/>
                <w:szCs w:val="20"/>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27,501</w:t>
            </w: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(13,917)</w:t>
            </w: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13,584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Domain 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0" w:type="dxa"/>
            <w:vAlign w:val="bottom"/>
            <w:shd w:val="clear" w:color="auto" w:fill="B6DEE8"/>
          </w:tcPr>
          <w:p>
            <w:pPr>
              <w:spacing w:after="0"/>
              <w:rPr>
                <w:sz w:val="19"/>
                <w:szCs w:val="19"/>
                <w:color w:val="auto"/>
              </w:rPr>
            </w:pP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32,190</w:t>
            </w:r>
          </w:p>
        </w:tc>
        <w:tc>
          <w:tcPr>
            <w:tcW w:w="80" w:type="dxa"/>
            <w:vAlign w:val="bottom"/>
            <w:shd w:val="clear" w:color="auto" w:fill="B6DEE8"/>
          </w:tcPr>
          <w:p>
            <w:pPr>
              <w:spacing w:after="0"/>
              <w:rPr>
                <w:sz w:val="19"/>
                <w:szCs w:val="19"/>
                <w:color w:val="auto"/>
              </w:rPr>
            </w:pPr>
          </w:p>
        </w:tc>
        <w:tc>
          <w:tcPr>
            <w:tcW w:w="3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(18,255)</w:t>
            </w: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13,935</w:t>
            </w:r>
          </w:p>
        </w:tc>
        <w:tc>
          <w:tcPr>
            <w:tcW w:w="120" w:type="dxa"/>
            <w:vAlign w:val="bottom"/>
            <w:shd w:val="clear" w:color="auto" w:fill="B6DEE8"/>
          </w:tcPr>
          <w:p>
            <w:pPr>
              <w:spacing w:after="0"/>
              <w:rPr>
                <w:sz w:val="19"/>
                <w:szCs w:val="19"/>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27,622</w:t>
            </w: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(13,980) $</w:t>
            </w:r>
          </w:p>
        </w:tc>
        <w:tc>
          <w:tcPr>
            <w:tcW w:w="10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2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w w:val="99"/>
              </w:rPr>
              <w:t>The future estimated amortization expenses as of September 30, 2025, were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6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98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70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6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9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98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70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21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future amortization</w:t>
            </w:r>
          </w:p>
        </w:tc>
        <w:tc>
          <w:tcPr>
            <w:tcW w:w="100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78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320" w:type="dxa"/>
            <w:vAlign w:val="bottom"/>
            <w:tcBorders>
              <w:bottom w:val="single" w:sz="8" w:color="auto"/>
            </w:tcBorders>
            <w:shd w:val="clear" w:color="auto" w:fill="B6DEE8"/>
          </w:tcPr>
          <w:p>
            <w:pPr>
              <w:spacing w:after="0"/>
              <w:rPr>
                <w:sz w:val="21"/>
                <w:szCs w:val="21"/>
                <w:color w:val="auto"/>
              </w:rPr>
            </w:pPr>
          </w:p>
        </w:tc>
        <w:tc>
          <w:tcPr>
            <w:tcW w:w="680" w:type="dxa"/>
            <w:vAlign w:val="bottom"/>
            <w:tcBorders>
              <w:bottom w:val="single" w:sz="8" w:color="auto"/>
            </w:tcBorders>
            <w:shd w:val="clear" w:color="auto" w:fill="B6DEE8"/>
          </w:tcPr>
          <w:p>
            <w:pPr>
              <w:spacing w:after="0"/>
              <w:rPr>
                <w:sz w:val="21"/>
                <w:szCs w:val="21"/>
                <w:color w:val="auto"/>
              </w:rPr>
            </w:pPr>
          </w:p>
        </w:tc>
        <w:tc>
          <w:tcPr>
            <w:tcW w:w="100" w:type="dxa"/>
            <w:vAlign w:val="bottom"/>
            <w:tcBorders>
              <w:bottom w:val="single" w:sz="8" w:color="auto"/>
            </w:tcBorders>
            <w:shd w:val="clear" w:color="auto" w:fill="B6DEE8"/>
          </w:tcPr>
          <w:p>
            <w:pPr>
              <w:spacing w:after="0"/>
              <w:rPr>
                <w:sz w:val="21"/>
                <w:szCs w:val="21"/>
                <w:color w:val="auto"/>
              </w:rPr>
            </w:pPr>
          </w:p>
        </w:tc>
        <w:tc>
          <w:tcPr>
            <w:tcW w:w="240" w:type="dxa"/>
            <w:vAlign w:val="bottom"/>
            <w:tcBorders>
              <w:bottom w:val="single" w:sz="8" w:color="auto"/>
            </w:tcBorders>
            <w:shd w:val="clear" w:color="auto" w:fill="B6DEE8"/>
          </w:tcPr>
          <w:p>
            <w:pPr>
              <w:spacing w:after="0"/>
              <w:rPr>
                <w:sz w:val="21"/>
                <w:szCs w:val="21"/>
                <w:color w:val="auto"/>
              </w:rPr>
            </w:pPr>
          </w:p>
        </w:tc>
        <w:tc>
          <w:tcPr>
            <w:tcW w:w="94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9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B6DEE8"/>
          </w:tcPr>
          <w:p>
            <w:pPr>
              <w:spacing w:after="0"/>
              <w:rPr>
                <w:sz w:val="21"/>
                <w:szCs w:val="21"/>
                <w:color w:val="auto"/>
              </w:rPr>
            </w:pPr>
          </w:p>
        </w:tc>
        <w:tc>
          <w:tcPr>
            <w:tcW w:w="220" w:type="dxa"/>
            <w:vAlign w:val="bottom"/>
            <w:tcBorders>
              <w:bottom w:val="single" w:sz="8" w:color="auto"/>
            </w:tcBorders>
            <w:shd w:val="clear" w:color="auto" w:fill="B6DEE8"/>
          </w:tcPr>
          <w:p>
            <w:pPr>
              <w:spacing w:after="0"/>
              <w:rPr>
                <w:sz w:val="21"/>
                <w:szCs w:val="21"/>
                <w:color w:val="auto"/>
              </w:rPr>
            </w:pPr>
          </w:p>
        </w:tc>
        <w:tc>
          <w:tcPr>
            <w:tcW w:w="70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9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13,935</w:t>
            </w:r>
          </w:p>
        </w:tc>
        <w:tc>
          <w:tcPr>
            <w:tcW w:w="100" w:type="dxa"/>
            <w:vAlign w:val="bottom"/>
            <w:tcBorders>
              <w:bottom w:val="single" w:sz="8" w:color="B6DEE8"/>
            </w:tcBorders>
            <w:shd w:val="clear" w:color="auto" w:fill="B6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1"/>
        </w:trPr>
        <w:tc>
          <w:tcPr>
            <w:tcW w:w="5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-1971040</wp:posOffset>
            </wp:positionV>
            <wp:extent cx="59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-1953895</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-1971040</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-1953895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-1971040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-1953895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-1971040</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-1953895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-1971040</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-1953895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-1971040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-1953895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2025 was $1.7 million and $4.5 million, respectively. Amortization expense for the three and nine months ended September 30, 2024 was $1.6 million and $4.7 million, respectively. No significant impairment charges were recognized related to long-lived assets for the three and nine months ended September 30,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r>
      <w:tr>
        <w:trPr>
          <w:trHeight w:val="210"/>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54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program fees</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tcPr>
          <w:p>
            <w:pPr>
              <w:spacing w:after="0"/>
              <w:rPr>
                <w:sz w:val="18"/>
                <w:szCs w:val="18"/>
                <w:color w:val="auto"/>
              </w:rPr>
            </w:pPr>
          </w:p>
        </w:tc>
      </w:tr>
      <w:tr>
        <w:trPr>
          <w:trHeight w:val="216"/>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B6DEE8"/>
          </w:tcPr>
          <w:p>
            <w:pPr>
              <w:spacing w:after="0"/>
              <w:rPr>
                <w:sz w:val="18"/>
                <w:szCs w:val="18"/>
                <w:color w:val="auto"/>
              </w:rPr>
            </w:pP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8"/>
                <w:szCs w:val="18"/>
                <w:color w:val="auto"/>
              </w:rPr>
            </w:pPr>
          </w:p>
        </w:tc>
      </w:tr>
      <w:tr>
        <w:trPr>
          <w:trHeight w:val="216"/>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negative account balances</w:t>
            </w:r>
          </w:p>
        </w:tc>
        <w:tc>
          <w:tcPr>
            <w:tcW w:w="260" w:type="dxa"/>
            <w:vAlign w:val="bottom"/>
            <w:shd w:val="clear" w:color="auto" w:fill="B6DEE8"/>
          </w:tcPr>
          <w:p>
            <w:pPr>
              <w:spacing w:after="0"/>
              <w:rPr>
                <w:sz w:val="18"/>
                <w:szCs w:val="18"/>
                <w:color w:val="auto"/>
              </w:rPr>
            </w:pP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charitable contributions</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18"/>
                <w:szCs w:val="18"/>
                <w:color w:val="auto"/>
              </w:rPr>
            </w:pPr>
          </w:p>
        </w:tc>
      </w:tr>
      <w:tr>
        <w:trPr>
          <w:trHeight w:val="216"/>
        </w:trPr>
        <w:tc>
          <w:tcPr>
            <w:tcW w:w="51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B6DEE8"/>
          </w:tcPr>
          <w:p>
            <w:pPr>
              <w:spacing w:after="0"/>
              <w:rPr>
                <w:sz w:val="18"/>
                <w:szCs w:val="18"/>
                <w:color w:val="auto"/>
              </w:rPr>
            </w:pPr>
          </w:p>
        </w:tc>
        <w:tc>
          <w:tcPr>
            <w:tcW w:w="2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B6DEE8"/>
            </w:tcBorders>
            <w:shd w:val="clear" w:color="auto" w:fill="B6DEE8"/>
          </w:tcPr>
          <w:p>
            <w:pPr>
              <w:spacing w:after="0"/>
              <w:rPr>
                <w:sz w:val="18"/>
                <w:szCs w:val="18"/>
                <w:color w:val="auto"/>
              </w:rPr>
            </w:pPr>
          </w:p>
        </w:tc>
        <w:tc>
          <w:tcPr>
            <w:tcW w:w="440" w:type="dxa"/>
            <w:vAlign w:val="bottom"/>
            <w:tcBorders>
              <w:bottom w:val="single" w:sz="8" w:color="auto"/>
            </w:tcBorders>
            <w:shd w:val="clear" w:color="auto" w:fill="B6DEE8"/>
          </w:tcPr>
          <w:p>
            <w:pPr>
              <w:spacing w:after="0"/>
              <w:rPr>
                <w:sz w:val="18"/>
                <w:szCs w:val="18"/>
                <w:color w:val="auto"/>
              </w:rPr>
            </w:pPr>
          </w:p>
        </w:tc>
        <w:tc>
          <w:tcPr>
            <w:tcW w:w="2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15,283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16,707</w:t>
            </w:r>
          </w:p>
        </w:tc>
        <w:tc>
          <w:tcPr>
            <w:tcW w:w="120" w:type="dxa"/>
            <w:vAlign w:val="bottom"/>
          </w:tcPr>
          <w:p>
            <w:pPr>
              <w:spacing w:after="0"/>
              <w:rPr>
                <w:sz w:val="18"/>
                <w:szCs w:val="18"/>
                <w:color w:val="auto"/>
              </w:rPr>
            </w:pP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the second quarter of 2025, accrued charitable contributions included amounts the Company had pledged related to charitable meal donations. The Company used a portion of tips received to make charitable cash donations to third parties who use the funds to provide meals to those in need. In February 2025, the Company discontinued the optional tips feature from Dave's business model. For the three and nine months ended September 30, 2025, the Company pledged $0 and approximately $0.5 million related to charitable donations, respectively. For the three and nine months ended September 30, 2024, the Company pledged approximately $1.3 million and $3.2 million related to charitable donations, respectively. These costs are expensed as incurred and are presented within other operating expenses in the condensed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current liabilities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3640" w:type="dxa"/>
            <w:vAlign w:val="bottom"/>
            <w:tcBorders>
              <w:bottom w:val="single" w:sz="8" w:color="B6DEE8"/>
            </w:tcBorders>
            <w:shd w:val="clear" w:color="auto" w:fill="B6DEE8"/>
          </w:tcPr>
          <w:p>
            <w:pPr>
              <w:spacing w:after="0"/>
              <w:rPr>
                <w:sz w:val="19"/>
                <w:szCs w:val="19"/>
                <w:color w:val="auto"/>
              </w:rPr>
            </w:pPr>
          </w:p>
        </w:tc>
        <w:tc>
          <w:tcPr>
            <w:tcW w:w="1740" w:type="dxa"/>
            <w:vAlign w:val="bottom"/>
            <w:tcBorders>
              <w:bottom w:val="single" w:sz="8" w:color="B6DEE8"/>
            </w:tcBorders>
            <w:shd w:val="clear" w:color="auto" w:fill="B6DEE8"/>
          </w:tcPr>
          <w:p>
            <w:pPr>
              <w:spacing w:after="0"/>
              <w:rPr>
                <w:sz w:val="19"/>
                <w:szCs w:val="19"/>
                <w:color w:val="auto"/>
              </w:rPr>
            </w:pPr>
          </w:p>
        </w:tc>
        <w:tc>
          <w:tcPr>
            <w:tcW w:w="140" w:type="dxa"/>
            <w:vAlign w:val="bottom"/>
            <w:tcBorders>
              <w:bottom w:val="single" w:sz="8" w:color="B6DEE8"/>
            </w:tcBorders>
            <w:shd w:val="clear" w:color="auto" w:fill="B6DEE8"/>
          </w:tcPr>
          <w:p>
            <w:pPr>
              <w:spacing w:after="0"/>
              <w:rPr>
                <w:sz w:val="19"/>
                <w:szCs w:val="19"/>
                <w:color w:val="auto"/>
              </w:rPr>
            </w:pPr>
          </w:p>
        </w:tc>
        <w:tc>
          <w:tcPr>
            <w:tcW w:w="15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400" w:type="dxa"/>
            <w:vAlign w:val="bottom"/>
            <w:tcBorders>
              <w:bottom w:val="single" w:sz="8" w:color="B6DEE8"/>
            </w:tcBorders>
            <w:shd w:val="clear" w:color="auto" w:fill="B6DEE8"/>
          </w:tcPr>
          <w:p>
            <w:pPr>
              <w:spacing w:after="0"/>
              <w:rPr>
                <w:sz w:val="19"/>
                <w:szCs w:val="19"/>
                <w:color w:val="auto"/>
              </w:rPr>
            </w:pPr>
          </w:p>
        </w:tc>
        <w:tc>
          <w:tcPr>
            <w:tcW w:w="100" w:type="dxa"/>
            <w:vAlign w:val="bottom"/>
            <w:tcBorders>
              <w:bottom w:val="single" w:sz="8" w:color="B6DEE8"/>
            </w:tcBorders>
            <w:shd w:val="clear" w:color="auto" w:fill="B6DEE8"/>
          </w:tcPr>
          <w:p>
            <w:pPr>
              <w:spacing w:after="0"/>
              <w:rPr>
                <w:sz w:val="19"/>
                <w:szCs w:val="19"/>
                <w:color w:val="auto"/>
              </w:rPr>
            </w:pPr>
          </w:p>
        </w:tc>
        <w:tc>
          <w:tcPr>
            <w:tcW w:w="580" w:type="dxa"/>
            <w:vAlign w:val="bottom"/>
            <w:tcBorders>
              <w:bottom w:val="single" w:sz="8" w:color="B6DEE8"/>
            </w:tcBorders>
            <w:shd w:val="clear" w:color="auto" w:fill="B6DEE8"/>
          </w:tcPr>
          <w:p>
            <w:pPr>
              <w:spacing w:after="0"/>
              <w:rPr>
                <w:sz w:val="19"/>
                <w:szCs w:val="19"/>
                <w:color w:val="auto"/>
              </w:rPr>
            </w:pPr>
          </w:p>
        </w:tc>
        <w:tc>
          <w:tcPr>
            <w:tcW w:w="14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520" w:type="dxa"/>
            <w:vAlign w:val="bottom"/>
            <w:tcBorders>
              <w:bottom w:val="single" w:sz="8" w:color="B6DEE8"/>
            </w:tcBorders>
            <w:gridSpan w:val="2"/>
            <w:shd w:val="clear" w:color="auto" w:fill="B6DEE8"/>
          </w:tcPr>
          <w:p>
            <w:pPr>
              <w:spacing w:after="0"/>
              <w:rPr>
                <w:sz w:val="19"/>
                <w:szCs w:val="19"/>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18"/>
                <w:szCs w:val="18"/>
                <w:color w:val="auto"/>
              </w:rPr>
            </w:pPr>
          </w:p>
        </w:tc>
      </w:tr>
      <w:tr>
        <w:trPr>
          <w:trHeight w:val="216"/>
        </w:trPr>
        <w:tc>
          <w:tcPr>
            <w:tcW w:w="36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174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80" w:type="dxa"/>
            <w:vAlign w:val="bottom"/>
            <w:gridSpan w:val="2"/>
            <w:shd w:val="clear" w:color="auto" w:fill="B6DEE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B6DEE8"/>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Forward commitment liability</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36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shd w:val="clear" w:color="auto" w:fill="B6DEE8"/>
          </w:tcPr>
          <w:p>
            <w:pPr>
              <w:spacing w:after="0"/>
              <w:rPr>
                <w:sz w:val="18"/>
                <w:szCs w:val="18"/>
                <w:color w:val="auto"/>
              </w:rPr>
            </w:pPr>
          </w:p>
        </w:tc>
        <w:tc>
          <w:tcPr>
            <w:tcW w:w="2060" w:type="dxa"/>
            <w:vAlign w:val="bottom"/>
            <w:tcBorders>
              <w:bottom w:val="single" w:sz="8" w:color="auto"/>
            </w:tcBorders>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B6DEE8"/>
            </w:tcBorders>
            <w:shd w:val="clear" w:color="auto" w:fill="B6DEE8"/>
          </w:tcPr>
          <w:p>
            <w:pPr>
              <w:spacing w:after="0"/>
              <w:rPr>
                <w:sz w:val="18"/>
                <w:szCs w:val="18"/>
                <w:color w:val="auto"/>
              </w:rPr>
            </w:pPr>
          </w:p>
        </w:tc>
        <w:tc>
          <w:tcPr>
            <w:tcW w:w="580" w:type="dxa"/>
            <w:vAlign w:val="bottom"/>
            <w:tcBorders>
              <w:bottom w:val="single" w:sz="8" w:color="auto"/>
            </w:tcBorders>
            <w:shd w:val="clear" w:color="auto" w:fill="B6DEE8"/>
          </w:tcPr>
          <w:p>
            <w:pPr>
              <w:spacing w:after="0"/>
              <w:rPr>
                <w:sz w:val="18"/>
                <w:szCs w:val="18"/>
                <w:color w:val="auto"/>
              </w:rPr>
            </w:pPr>
          </w:p>
        </w:tc>
        <w:tc>
          <w:tcPr>
            <w:tcW w:w="1860" w:type="dxa"/>
            <w:vAlign w:val="bottom"/>
            <w:tcBorders>
              <w:bottom w:val="single" w:sz="8" w:color="auto"/>
            </w:tcBorders>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4,989</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4,132</w:t>
            </w:r>
          </w:p>
        </w:tc>
        <w:tc>
          <w:tcPr>
            <w:tcW w:w="120" w:type="dxa"/>
            <w:vAlign w:val="bottom"/>
          </w:tcPr>
          <w:p>
            <w:pPr>
              <w:spacing w:after="0"/>
              <w:rPr>
                <w:sz w:val="18"/>
                <w:szCs w:val="18"/>
                <w:color w:val="auto"/>
              </w:rPr>
            </w:pPr>
          </w:p>
        </w:tc>
      </w:tr>
      <w:tr>
        <w:trPr>
          <w:trHeight w:val="20"/>
        </w:trPr>
        <w:tc>
          <w:tcPr>
            <w:tcW w:w="36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current liabilities includes deferred transaction costs associated with the transactions consummated on January 5, 2022 as contemplated by that certain Agreement and Plan of Merger, dated as of June 7, 2021 among VPC Impact Acquisition Holdings III, Inc. (“VPCC”), Dave Inc., a Delaware corporation and other entities (the “Business Combination”). These transaction costs were also capitalized and included within additional paid in capital in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Convertible Note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Convertible Note Purchase Agreement (“Note Purchase Agreement”) with FTX Ventures Ltd. (the “Purchaser”), owner of FTX US (“FTX”), providing for the purchase and sale of a convertible note in the initial principal amount of $100.0 million (the “Note”). The Note bore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would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29, 2024, the Company repurchased the $105.7 million outstanding balance of the Note as of January 29, 2024 for $71.0 million. The Company reduced the net carrying amount of debt by unamortized debt issuance costs of $0.03 million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extinguishment date. The Company also incurred third-party costs totaling $1.3 million in conjunction with the settlement of the Note. The third-party costs are included in the reacquisition price and the gain on extinguishment of $33.4 million was calculated as the difference between the net carrying amount of debt and the reacquisition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 Liabilities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September 30, 2025, there were 6,344,021 public warrants (“Public Warrants”) outstanding and 5,100,214 private placement warrants (“Private Warrants”) outstanding. In connection with the 32-for-1 reverse stock split effected on January 4, 2023, 32 warrants are exercisable for one share of Class A Common Stock.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Public Warrants and Private Warrants have an exercise price of $11.50 per share, or $368 in total after giving effect to the 32-for-1 stock split, subject to adjustments. These warrants will expire five years after the completion of the Business Combination, or earlier if redeemed or upon liquidation.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when the price per share of Class A Common Stock equals or exceeds $576.00: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 for cash:</w:t>
      </w:r>
    </w:p>
    <w:p>
      <w:pPr>
        <w:spacing w:after="0" w:line="117" w:lineRule="exact"/>
        <w:rPr>
          <w:sz w:val="20"/>
          <w:szCs w:val="20"/>
          <w:color w:val="auto"/>
        </w:rPr>
      </w:pPr>
    </w:p>
    <w:p>
      <w:pPr>
        <w:ind w:left="480" w:hanging="472"/>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right="300" w:firstLine="8"/>
        <w:spacing w:after="0" w:line="266" w:lineRule="auto"/>
        <w:tabs>
          <w:tab w:leader="none" w:pos="4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for when the price per share of Class A Common Stock equals or exceeds $320.00: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67" w:lineRule="exact"/>
        <w:rPr>
          <w:rFonts w:ascii="Times New Roman" w:cs="Times New Roman" w:eastAsia="Times New Roman" w:hAnsi="Times New Roman"/>
          <w:sz w:val="18"/>
          <w:szCs w:val="18"/>
          <w:color w:val="auto"/>
        </w:rPr>
      </w:pPr>
    </w:p>
    <w:p>
      <w:pPr>
        <w:ind w:right="220" w:firstLine="8"/>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Common Stock equals or exceeds $320.00 per Public Share (as adjusted) for any 20 trading days within the 30-trading day period ending three trading days before the Company sends notice of redemption to the warrant holders.</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80"/>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Contemporaneously with the execution of the Debt Facility, the Company issued warrants to the various lenders (the “Lenders”) associated with Victory Park Management, LLC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Immediately prior to the close of the Business Combination, all, or 1,664,394 of the vested warrants were exercised and net settled for 14,087 shares of Legacy Dave’s Class A Common Stock after applying the Exchange Ratio.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 Facility</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January 2021, Dave OD Funding I, LLC (“Borrower”) entered into a delayed draw senior secured loan facility (the “Debt Facility”) with Victory Park Management, LLC (“Agent”), and allowed the Borrower to draw up to $100 million from the Lenders.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$15.0 million.</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September 13, 2023, the Company executed the Third Amendment to the Debt Facility with the existing Lenders. The Third Amendment, among other things: (i) increases the secured loan facility commitment amount by $50 million to a total of $150 million; (ii) extends the maturity date of the Debt Facility from January 2025 to December 2026; (iii) adds a liquidity trigger threshold, measured as of the last day of any calendar month, equal to the lesser of (a) the trailing six-month EBITDA as of such date, (b) the product of (A) the trailing three-month EBITDA as of such date, multiplied by (B) two (2), and (c) zero ($0); (iv) increases the minimum liquidity threshold, a requirement to maintain a minimum cash, cash equivalents, or marketable securities balance, from $8.0 million to $15 million (v) replaces LIBOR with the secured overnight financing rate ("SOFR") and updates interest rates to the base rate (or if greater, SOFR for such date for a 3-month tenor and 3.00%) plus 5.00% per annum on that portion of the aggregate outstanding principal balance that is less than or equal to $75 million, plus the base rate plus 4.50% per annum on that portion of the aggregate outstanding principal balance, if any, that is greater than $75 million; (vi) updates prepayment premiums for early or voluntary principal repayments and (vii) the Company's guaranty (the limited guaranty was secured by a first-priority lien against substantially all of the Company's assets) of up to $25 million of the Borrower's obligations under the Debt Facility has been terminated.</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Payments of the loan draws are due at the following dates: (i) within five business days after the date of receipt by the Borrower of any net cash proceeds in excess of $0.25 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 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 million in respect of clause (a) above and (y) 100% of such extraordinary receipts in respect of clause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140"/>
        <w:spacing w:after="0" w:line="253" w:lineRule="auto"/>
        <w:rPr>
          <w:sz w:val="20"/>
          <w:szCs w:val="20"/>
          <w:color w:val="auto"/>
        </w:rPr>
      </w:pPr>
      <w:r>
        <w:rPr>
          <w:rFonts w:ascii="Times New Roman" w:cs="Times New Roman" w:eastAsia="Times New Roman" w:hAnsi="Times New Roman"/>
          <w:sz w:val="18"/>
          <w:szCs w:val="18"/>
          <w:color w:val="auto"/>
        </w:rPr>
        <w:t>On October 18, 2024, the Company executed the Fourth Amendment to the Debt Facility with the existing Lenders to expand the Company's borrowing capacity. The amendment also updates interest rates to the sum of the base rate plus 5.00% per annum on the aggregate outstanding principal balance and updates prepayment premiums for early or voluntary principal repayments, among other administrative terms. The Fourth Amendment was accounted for as a debt modification and, accordingly, the Company incurred $0.03 million in associated costs which will be recognized within the consolidated statement of operations evenly through maturity date of the Debt Facility, and no gain or loss was recognized. As of June 30, 2025, the Company was not in compliance with a specific debt covenant under its existing Debt Facility. In particular, a breach existed relating to the Minimum Receivable Loan-to-Value ("LTV Ratio"), which exceeded the allowable limits set forth in the covenant. The Agent, on behalf of the Lenders, provided a one-time limited waiver of this covenant, effective from October 18, 2024 until June 30, 2025. This waiver is solely for that period and for addressing this specific breach, and does not constitute a waiver of any default or event of default under the Debt Facility. On July 14, 2025, the Company entered into the Fifth Amendment to the Financing Agreement, which, among other updates, removed the LTV ratio covenant from the agreement entirely. The Fifth Amendment also implemented additional reporting requirements and enhanced cash management provisions to strengthen the Company's covenant structure and operational oversight under the facility.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had drawn $75.0 million on the Debt Facility and had made no repayments.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spacing w:after="0" w:line="181" w:lineRule="exact"/>
        <w:rPr>
          <w:sz w:val="20"/>
          <w:szCs w:val="20"/>
          <w:color w:val="auto"/>
        </w:rPr>
      </w:pPr>
    </w:p>
    <w:p>
      <w:pPr>
        <w:ind w:right="800" w:firstLine="8"/>
        <w:spacing w:after="0" w:line="284" w:lineRule="auto"/>
        <w:tabs>
          <w:tab w:leader="none" w:pos="1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United States of America v. Dave, Inc. and Jason Wilk (filed December 30, 2024 in the United States District Court for the Central District of California)</w:t>
      </w:r>
    </w:p>
    <w:p>
      <w:pPr>
        <w:spacing w:after="0" w:line="5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 Complaint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w:t>
      </w:r>
      <w:r>
        <w:rPr>
          <w:rFonts w:ascii="Times New Roman" w:cs="Times New Roman" w:eastAsia="Times New Roman" w:hAnsi="Times New Roman"/>
          <w:sz w:val="18"/>
          <w:szCs w:val="18"/>
          <w:color w:val="1D1C1D"/>
        </w:rPr>
        <w:t>The FTC then referred the case to the Department of Justice (the “DOJ”), and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On February 28, 2025, we filed a motion to dismiss the DOJ’s Amended Complaint. On April 7, 2025, the DOJ filed an opposition to the Company's motion to dismiss and on April 21, 2025 the Company filed its reply in support of the Company's motion to dismiss. The hearing on the Company's motion to dismiss was held on June 30, 2025. On September 12, 2025, the Court denied the Company's motion to dismiss. On October 10, 2025, the Company answered the Amended Complaint.</w:t>
      </w:r>
    </w:p>
    <w:p>
      <w:pPr>
        <w:spacing w:after="0" w:line="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the Company believes that its practices have at all times been in compliance with applicable law, the outcome of any case in litigation is uncertain. Therefore, as of the period ended September 30, 2025, the Company has recorded a $7.0 million litigation and settlement accrual for this matter. Significant changes in the accrual may be required in future periods as the case progresses and additional information becomes available. At this time, the Company is unable to reasonably predict the possible outcome of this matter due to, among other things, the fact that it raises difficult factual and legal issues and is subject to many uncertainties and complexities. There can be no assurance that the Company will be successful in the litigation, and the Company may incur a loss in excess of the amount accrued. The defense or resolution of this matter could involve significant monetary costs and have a material impact on the Company’s business, financial results and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0" w:name="page31"/>
    <w:bookmarkEnd w:id="30"/>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 sublease agreement with PCJW Properties LLC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Company extended the sublease for five more years ending October 2028. Under the terms of the sublease, the current monthly rent is $0.006 million, subject to annual escalations of 4%.</w:t>
      </w:r>
    </w:p>
    <w:p>
      <w:pPr>
        <w:spacing w:after="0" w:line="7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 second lease agreement with PCJW for office space located in Los Angeles, California. The lease term is seven years, beginning January 1, 2019 and ending December 31, 2025. The current monthly lease payment is $0.03 million, subject to annual escalations of 5%.</w:t>
      </w:r>
    </w:p>
    <w:p>
      <w:pPr>
        <w:spacing w:after="0" w:line="68"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130"/>
        </w:trPr>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8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Borders>
              <w:bottom w:val="single" w:sz="8" w:color="B6DEE8"/>
            </w:tcBorders>
            <w:shd w:val="clear" w:color="auto" w:fill="B6DEE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1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130"/>
        </w:trPr>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3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20" w:type="dxa"/>
            <w:vAlign w:val="bottom"/>
            <w:shd w:val="clear" w:color="auto" w:fill="B6DEE8"/>
          </w:tcPr>
          <w:p>
            <w:pPr>
              <w:spacing w:after="0"/>
              <w:rPr>
                <w:sz w:val="18"/>
                <w:szCs w:val="18"/>
                <w:color w:val="auto"/>
              </w:rPr>
            </w:pPr>
          </w:p>
        </w:tc>
        <w:tc>
          <w:tcPr>
            <w:tcW w:w="13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52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w:t>
            </w:r>
          </w:p>
        </w:tc>
        <w:tc>
          <w:tcPr>
            <w:tcW w:w="120" w:type="dxa"/>
            <w:vAlign w:val="bottom"/>
            <w:shd w:val="clear" w:color="auto" w:fill="B6DEE8"/>
          </w:tcPr>
          <w:p>
            <w:pPr>
              <w:spacing w:after="0"/>
              <w:rPr>
                <w:sz w:val="18"/>
                <w:szCs w:val="18"/>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4"/>
        </w:trPr>
        <w:tc>
          <w:tcPr>
            <w:tcW w:w="6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The future minimum lease payments as of September 30, 2025, were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Related-Party</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36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2025 (remaining)</w:t>
            </w:r>
          </w:p>
        </w:tc>
        <w:tc>
          <w:tcPr>
            <w:tcW w:w="120" w:type="dxa"/>
            <w:vAlign w:val="bottom"/>
            <w:shd w:val="clear" w:color="auto" w:fill="B6DEE8"/>
          </w:tcPr>
          <w:p>
            <w:pPr>
              <w:spacing w:after="0"/>
              <w:rPr>
                <w:sz w:val="17"/>
                <w:szCs w:val="17"/>
                <w:color w:val="auto"/>
              </w:rPr>
            </w:pPr>
          </w:p>
        </w:tc>
        <w:tc>
          <w:tcPr>
            <w:tcW w:w="130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440" w:type="dxa"/>
            <w:vAlign w:val="bottom"/>
            <w:gridSpan w:val="2"/>
            <w:shd w:val="clear" w:color="auto" w:fill="B6DEE8"/>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B6DEE8"/>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98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3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6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36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20" w:type="dxa"/>
            <w:vAlign w:val="bottom"/>
            <w:tcBorders>
              <w:bottom w:val="single" w:sz="8" w:color="auto"/>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spacing w:after="0"/>
              <w:rPr>
                <w:sz w:val="18"/>
                <w:szCs w:val="18"/>
                <w:color w:val="auto"/>
              </w:rPr>
            </w:pPr>
          </w:p>
        </w:tc>
        <w:tc>
          <w:tcPr>
            <w:tcW w:w="180" w:type="dxa"/>
            <w:vAlign w:val="bottom"/>
            <w:tcBorders>
              <w:bottom w:val="single" w:sz="8" w:color="auto"/>
            </w:tcBorders>
            <w:shd w:val="clear" w:color="auto" w:fill="B6DEE8"/>
          </w:tcPr>
          <w:p>
            <w:pPr>
              <w:spacing w:after="0"/>
              <w:rPr>
                <w:sz w:val="18"/>
                <w:szCs w:val="18"/>
                <w:color w:val="auto"/>
              </w:rPr>
            </w:pPr>
          </w:p>
        </w:tc>
        <w:tc>
          <w:tcPr>
            <w:tcW w:w="440" w:type="dxa"/>
            <w:vAlign w:val="bottom"/>
            <w:tcBorders>
              <w:bottom w:val="single" w:sz="8" w:color="auto"/>
            </w:tcBorders>
            <w:gridSpan w:val="2"/>
            <w:shd w:val="clear" w:color="auto" w:fill="B6DEE8"/>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330</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636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20" w:type="dxa"/>
            <w:vAlign w:val="bottom"/>
            <w:tcBorders>
              <w:top w:val="single" w:sz="8" w:color="auto"/>
              <w:bottom w:val="single" w:sz="8" w:color="auto"/>
            </w:tcBorders>
            <w:shd w:val="clear" w:color="auto" w:fill="B6DEE8"/>
          </w:tcPr>
          <w:p>
            <w:pPr>
              <w:spacing w:after="0"/>
              <w:rPr>
                <w:sz w:val="21"/>
                <w:szCs w:val="21"/>
                <w:color w:val="auto"/>
              </w:rPr>
            </w:pPr>
          </w:p>
        </w:tc>
        <w:tc>
          <w:tcPr>
            <w:tcW w:w="1300" w:type="dxa"/>
            <w:vAlign w:val="bottom"/>
            <w:tcBorders>
              <w:top w:val="single" w:sz="8" w:color="auto"/>
              <w:bottom w:val="single" w:sz="8" w:color="auto"/>
            </w:tcBorders>
            <w:shd w:val="clear" w:color="auto" w:fill="B6DEE8"/>
          </w:tcPr>
          <w:p>
            <w:pPr>
              <w:spacing w:after="0"/>
              <w:rPr>
                <w:sz w:val="21"/>
                <w:szCs w:val="21"/>
                <w:color w:val="auto"/>
              </w:rPr>
            </w:pPr>
          </w:p>
        </w:tc>
        <w:tc>
          <w:tcPr>
            <w:tcW w:w="180" w:type="dxa"/>
            <w:vAlign w:val="bottom"/>
            <w:tcBorders>
              <w:top w:val="single" w:sz="8" w:color="auto"/>
              <w:bottom w:val="single" w:sz="8" w:color="auto"/>
            </w:tcBorders>
            <w:shd w:val="clear" w:color="auto" w:fill="B6DEE8"/>
          </w:tcPr>
          <w:p>
            <w:pPr>
              <w:spacing w:after="0"/>
              <w:rPr>
                <w:sz w:val="21"/>
                <w:szCs w:val="21"/>
                <w:color w:val="auto"/>
              </w:rPr>
            </w:pPr>
          </w:p>
        </w:tc>
        <w:tc>
          <w:tcPr>
            <w:tcW w:w="440" w:type="dxa"/>
            <w:vAlign w:val="bottom"/>
            <w:tcBorders>
              <w:top w:val="single" w:sz="8" w:color="auto"/>
              <w:bottom w:val="single" w:sz="8" w:color="auto"/>
            </w:tcBorders>
            <w:gridSpan w:val="2"/>
            <w:shd w:val="clear" w:color="auto" w:fill="B6DEE8"/>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Borders>
              <w:bottom w:val="single" w:sz="8" w:color="B6DEE8"/>
            </w:tcBorders>
            <w:shd w:val="clear" w:color="auto" w:fill="B6DEE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Instruments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are the major categories of assets and liabilities measured at fair value on a recurring basis as of September 30, 2025 and December 31, 2024, using quoted prices in active markets for identical assets (Level 1), significant other observable inputs (Level 2), and significant unobservable inputs (Level 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58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00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B6DEE8"/>
          </w:tcPr>
          <w:p>
            <w:pPr>
              <w:spacing w:after="0"/>
              <w:rPr>
                <w:sz w:val="17"/>
                <w:szCs w:val="17"/>
                <w:color w:val="auto"/>
              </w:rPr>
            </w:pPr>
          </w:p>
        </w:tc>
        <w:tc>
          <w:tcPr>
            <w:tcW w:w="9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84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110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360" w:type="dxa"/>
            <w:vAlign w:val="bottom"/>
            <w:shd w:val="clear" w:color="auto" w:fill="B6DEE8"/>
          </w:tcPr>
          <w:p>
            <w:pPr>
              <w:spacing w:after="0"/>
              <w:rPr>
                <w:sz w:val="17"/>
                <w:szCs w:val="17"/>
                <w:color w:val="auto"/>
              </w:rPr>
            </w:pPr>
          </w:p>
        </w:tc>
        <w:tc>
          <w:tcPr>
            <w:tcW w:w="13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00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B6DEE8"/>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41,846</w:t>
            </w:r>
          </w:p>
        </w:tc>
        <w:tc>
          <w:tcPr>
            <w:tcW w:w="520" w:type="dxa"/>
            <w:vAlign w:val="bottom"/>
            <w:gridSpan w:val="3"/>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41,846</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B6DE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0" w:type="dxa"/>
            <w:vAlign w:val="bottom"/>
            <w:shd w:val="clear" w:color="auto" w:fill="B6DEE8"/>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440" w:type="dxa"/>
            <w:vAlign w:val="bottom"/>
            <w:gridSpan w:val="3"/>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00" w:type="dxa"/>
            <w:vAlign w:val="bottom"/>
            <w:tcBorders>
              <w:bottom w:val="single" w:sz="8" w:color="auto"/>
            </w:tcBorders>
            <w:gridSpan w:val="2"/>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Earnout liabilities</w:t>
            </w:r>
          </w:p>
        </w:tc>
        <w:tc>
          <w:tcPr>
            <w:tcW w:w="180" w:type="dxa"/>
            <w:vAlign w:val="bottom"/>
            <w:tcBorders>
              <w:bottom w:val="single" w:sz="8" w:color="auto"/>
            </w:tcBorders>
            <w:shd w:val="clear" w:color="auto" w:fill="B6DEE8"/>
          </w:tcPr>
          <w:p>
            <w:pPr>
              <w:spacing w:after="0"/>
              <w:rPr>
                <w:sz w:val="18"/>
                <w:szCs w:val="18"/>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180" w:type="dxa"/>
            <w:vAlign w:val="bottom"/>
            <w:tcBorders>
              <w:bottom w:val="single" w:sz="8" w:color="auto"/>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8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spacing w:after="0"/>
              <w:rPr>
                <w:sz w:val="18"/>
                <w:szCs w:val="18"/>
                <w:color w:val="auto"/>
              </w:rPr>
            </w:pPr>
          </w:p>
        </w:tc>
        <w:tc>
          <w:tcPr>
            <w:tcW w:w="240" w:type="dxa"/>
            <w:vAlign w:val="bottom"/>
            <w:tcBorders>
              <w:bottom w:val="single" w:sz="8" w:color="auto"/>
            </w:tcBorders>
            <w:shd w:val="clear" w:color="auto" w:fill="B6DEE8"/>
          </w:tcPr>
          <w:p>
            <w:pPr>
              <w:spacing w:after="0"/>
              <w:rPr>
                <w:sz w:val="18"/>
                <w:szCs w:val="18"/>
                <w:color w:val="auto"/>
              </w:rPr>
            </w:pPr>
          </w:p>
        </w:tc>
        <w:tc>
          <w:tcPr>
            <w:tcW w:w="11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spacing w:after="0"/>
              <w:rPr>
                <w:sz w:val="18"/>
                <w:szCs w:val="18"/>
                <w:color w:val="auto"/>
              </w:rPr>
            </w:pPr>
          </w:p>
        </w:tc>
        <w:tc>
          <w:tcPr>
            <w:tcW w:w="360" w:type="dxa"/>
            <w:vAlign w:val="bottom"/>
            <w:tcBorders>
              <w:bottom w:val="single" w:sz="8" w:color="auto"/>
            </w:tcBorders>
            <w:shd w:val="clear" w:color="auto" w:fill="B6DEE8"/>
          </w:tcPr>
          <w:p>
            <w:pPr>
              <w:spacing w:after="0"/>
              <w:rPr>
                <w:sz w:val="18"/>
                <w:szCs w:val="18"/>
                <w:color w:val="auto"/>
              </w:rPr>
            </w:pPr>
          </w:p>
        </w:tc>
        <w:tc>
          <w:tcPr>
            <w:tcW w:w="13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B6DEE8"/>
            </w:tcBorders>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6,884</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10,356</w:t>
            </w: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51"/>
        </w:trPr>
        <w:tc>
          <w:tcPr>
            <w:tcW w:w="5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-1628140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-1610995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-1628140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-1610995</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-1628140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-1610995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-1628140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-1610995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-1053465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-1053465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-1053465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tbl>
      <w:tblPr>
        <w:tblLayout w:type="fixed"/>
        <w:tblInd w:w="580" w:type="dxa"/>
        <w:tblCellMar>
          <w:top w:w="0" w:type="dxa"/>
          <w:left w:w="0" w:type="dxa"/>
          <w:bottom w:w="0" w:type="dxa"/>
          <w:right w:w="0" w:type="dxa"/>
        </w:tblCellMar>
      </w:tblPr>
      <w:tr>
        <w:trPr>
          <w:trHeight w:val="21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14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5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40" w:type="dxa"/>
            <w:vAlign w:val="bottom"/>
            <w:vMerge w:val="continue"/>
          </w:tcPr>
          <w:p>
            <w:pPr>
              <w:spacing w:after="0"/>
              <w:rPr>
                <w:sz w:val="17"/>
                <w:szCs w:val="17"/>
                <w:color w:val="auto"/>
              </w:rPr>
            </w:pPr>
          </w:p>
        </w:tc>
        <w:tc>
          <w:tcPr>
            <w:tcW w:w="2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B6DEE8"/>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B6DEE8"/>
          </w:tcPr>
          <w:p>
            <w:pPr>
              <w:spacing w:after="0"/>
              <w:rPr>
                <w:sz w:val="18"/>
                <w:szCs w:val="18"/>
                <w:color w:val="auto"/>
              </w:rPr>
            </w:pPr>
          </w:p>
        </w:tc>
        <w:tc>
          <w:tcPr>
            <w:tcW w:w="34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B6DE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40,473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40,473</w:t>
            </w: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B6DEE8"/>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shd w:val="clear" w:color="auto" w:fill="B6DEE8"/>
          </w:tcPr>
          <w:p>
            <w:pPr>
              <w:spacing w:after="0"/>
              <w:rPr>
                <w:sz w:val="21"/>
                <w:szCs w:val="21"/>
                <w:color w:val="auto"/>
              </w:rPr>
            </w:pPr>
          </w:p>
        </w:tc>
        <w:tc>
          <w:tcPr>
            <w:tcW w:w="34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40,473</w:t>
            </w:r>
          </w:p>
        </w:tc>
        <w:tc>
          <w:tcPr>
            <w:tcW w:w="180" w:type="dxa"/>
            <w:vAlign w:val="bottom"/>
            <w:shd w:val="clear" w:color="auto" w:fill="B6DEE8"/>
          </w:tcPr>
          <w:p>
            <w:pPr>
              <w:spacing w:after="0"/>
              <w:rPr>
                <w:sz w:val="21"/>
                <w:szCs w:val="21"/>
                <w:color w:val="auto"/>
              </w:rPr>
            </w:pPr>
          </w:p>
        </w:tc>
        <w:tc>
          <w:tcPr>
            <w:tcW w:w="1060" w:type="dxa"/>
            <w:vAlign w:val="bottom"/>
            <w:shd w:val="clear" w:color="auto" w:fill="B6DEE8"/>
          </w:tcPr>
          <w:p>
            <w:pPr>
              <w:jc w:val="right"/>
              <w:ind w:right="8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B6DEE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40,570</w:t>
            </w:r>
          </w:p>
        </w:tc>
        <w:tc>
          <w:tcPr>
            <w:tcW w:w="0" w:type="dxa"/>
            <w:vAlign w:val="bottom"/>
          </w:tcPr>
          <w:p>
            <w:pPr>
              <w:spacing w:after="0"/>
              <w:rPr>
                <w:sz w:val="1"/>
                <w:szCs w:val="1"/>
                <w:color w:val="auto"/>
              </w:rPr>
            </w:pPr>
          </w:p>
        </w:tc>
      </w:tr>
      <w:tr>
        <w:trPr>
          <w:trHeight w:val="197"/>
        </w:trPr>
        <w:tc>
          <w:tcPr>
            <w:tcW w:w="40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B6DE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0" w:type="dxa"/>
            <w:vAlign w:val="bottom"/>
            <w:shd w:val="clear" w:color="auto" w:fill="B6DEE8"/>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B6DEE8"/>
          </w:tcPr>
          <w:p>
            <w:pPr>
              <w:spacing w:after="0"/>
              <w:rPr>
                <w:sz w:val="18"/>
                <w:szCs w:val="18"/>
                <w:color w:val="auto"/>
              </w:rPr>
            </w:pPr>
          </w:p>
        </w:tc>
        <w:tc>
          <w:tcPr>
            <w:tcW w:w="34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B6DE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Earnout liabilities</w:t>
            </w:r>
          </w:p>
        </w:tc>
        <w:tc>
          <w:tcPr>
            <w:tcW w:w="18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2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spacing w:after="0"/>
              <w:rPr>
                <w:sz w:val="18"/>
                <w:szCs w:val="18"/>
                <w:color w:val="auto"/>
              </w:rPr>
            </w:pPr>
          </w:p>
        </w:tc>
        <w:tc>
          <w:tcPr>
            <w:tcW w:w="5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13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8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1,912</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2,928</w:t>
            </w:r>
          </w:p>
        </w:tc>
        <w:tc>
          <w:tcPr>
            <w:tcW w:w="0" w:type="dxa"/>
            <w:vAlign w:val="bottom"/>
          </w:tcPr>
          <w:p>
            <w:pPr>
              <w:spacing w:after="0"/>
              <w:rPr>
                <w:sz w:val="1"/>
                <w:szCs w:val="1"/>
                <w:color w:val="auto"/>
              </w:rPr>
            </w:pPr>
          </w:p>
        </w:tc>
      </w:tr>
      <w:tr>
        <w:trPr>
          <w:trHeight w:val="20"/>
        </w:trPr>
        <w:tc>
          <w:tcPr>
            <w:tcW w:w="144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-744855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-728345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-744855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-728345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-744855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-728345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-744855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-728345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assets or liabilities measured at fair value on a non-recurring basis as of September 30, 2025 and December 31, 2024.</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also has financial instruments not measured at fair value. The Company has evaluated cash (Level 1), restricted cash (Level 1), accounts payable (Level 2), accrued expenses (Level 2) and ExtraCash receivables (Level 3) and believes the carrying value approximates the fair value due to the short-term nature of these balances. The fair value of the debt facility (Level 2) approximates its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117" w:lineRule="exact"/>
        <w:rPr>
          <w:sz w:val="20"/>
          <w:szCs w:val="20"/>
          <w:color w:val="auto"/>
        </w:rPr>
      </w:pPr>
    </w:p>
    <w:p>
      <w:pPr>
        <w:ind w:right="160"/>
        <w:spacing w:after="0" w:line="375" w:lineRule="auto"/>
        <w:rPr>
          <w:sz w:val="20"/>
          <w:szCs w:val="20"/>
          <w:color w:val="auto"/>
        </w:rPr>
      </w:pPr>
      <w:r>
        <w:rPr>
          <w:rFonts w:ascii="Times New Roman" w:cs="Times New Roman" w:eastAsia="Times New Roman" w:hAnsi="Times New Roman"/>
          <w:sz w:val="18"/>
          <w:szCs w:val="18"/>
          <w:color w:val="auto"/>
        </w:rPr>
        <w:t xml:space="preserve">The following describes the valuation techniques used by the Company to measure the fair value of investments held as of September 30, 2025 and 2024. </w:t>
      </w:r>
      <w:r>
        <w:rPr>
          <w:rFonts w:ascii="Times New Roman" w:cs="Times New Roman" w:eastAsia="Times New Roman" w:hAnsi="Times New Roman"/>
          <w:sz w:val="18"/>
          <w:szCs w:val="18"/>
          <w:i w:val="1"/>
          <w:iCs w:val="1"/>
          <w:color w:val="auto"/>
        </w:rPr>
        <w:t>U.S. Government Securities</w:t>
      </w:r>
    </w:p>
    <w:p>
      <w:pPr>
        <w:spacing w:after="0" w:line="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 of U.S. government securities is estimated by independent pricing services who use computerized valuation formulas to calculate current values. U.S. government securities are categorized in Level 2 of the fair value hierarchy.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Bonds and Notes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Securities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further in Note 10,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(loss) related to the change in fair value of the public warrant liability for the three and nine months ended September 30, 2025 was $4.6 million and ($5.9) million, respectively, which is presented within changes in fair value of public warrant liability in the condensed consolidated statements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Level 1 public warrant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32" w:name="page33"/>
    <w:bookmarkEnd w:id="32"/>
    <w:tbl>
      <w:tblPr>
        <w:tblLayout w:type="fixed"/>
        <w:tblInd w:w="580" w:type="dxa"/>
        <w:tblCellMar>
          <w:top w:w="0" w:type="dxa"/>
          <w:left w:w="0" w:type="dxa"/>
          <w:bottom w:w="0" w:type="dxa"/>
          <w:right w:w="0" w:type="dxa"/>
        </w:tblCellMar>
      </w:tblPr>
      <w:tr>
        <w:trPr>
          <w:trHeight w:val="216"/>
        </w:trPr>
        <w:tc>
          <w:tcPr>
            <w:tcW w:w="5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2025</w:t>
            </w:r>
          </w:p>
        </w:tc>
        <w:tc>
          <w:tcPr>
            <w:tcW w:w="34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shd w:val="clear" w:color="auto" w:fill="B6DEE8"/>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27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8"/>
                <w:szCs w:val="18"/>
                <w:color w:val="auto"/>
              </w:rPr>
            </w:pPr>
          </w:p>
        </w:tc>
      </w:tr>
      <w:tr>
        <w:trPr>
          <w:trHeight w:val="230"/>
        </w:trPr>
        <w:tc>
          <w:tcPr>
            <w:tcW w:w="5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September 30, 2025</w:t>
            </w:r>
          </w:p>
        </w:tc>
        <w:tc>
          <w:tcPr>
            <w:tcW w:w="34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6,883</w:t>
            </w:r>
          </w:p>
        </w:tc>
        <w:tc>
          <w:tcPr>
            <w:tcW w:w="100" w:type="dxa"/>
            <w:vAlign w:val="bottom"/>
            <w:shd w:val="clear" w:color="auto" w:fill="B6DEE8"/>
          </w:tcPr>
          <w:p>
            <w:pPr>
              <w:spacing w:after="0"/>
              <w:rPr>
                <w:sz w:val="19"/>
                <w:szCs w:val="19"/>
                <w:color w:val="auto"/>
              </w:rPr>
            </w:pPr>
          </w:p>
        </w:tc>
      </w:tr>
      <w:tr>
        <w:trPr>
          <w:trHeight w:val="20"/>
        </w:trPr>
        <w:tc>
          <w:tcPr>
            <w:tcW w:w="5520" w:type="dxa"/>
            <w:vAlign w:val="bottom"/>
            <w:tcBorders>
              <w:top w:val="single" w:sz="8" w:color="B6DEE8"/>
            </w:tcBorders>
            <w:shd w:val="clear" w:color="auto" w:fill="B6DEE8"/>
          </w:tcPr>
          <w:p>
            <w:pPr>
              <w:spacing w:after="0" w:line="20" w:lineRule="exact"/>
              <w:rPr>
                <w:sz w:val="1"/>
                <w:szCs w:val="1"/>
                <w:color w:val="auto"/>
              </w:rPr>
            </w:pPr>
          </w:p>
        </w:tc>
        <w:tc>
          <w:tcPr>
            <w:tcW w:w="2780" w:type="dxa"/>
            <w:vAlign w:val="bottom"/>
            <w:tcBorders>
              <w:top w:val="single" w:sz="8" w:color="B6DEE8"/>
            </w:tcBorders>
            <w:shd w:val="clear" w:color="auto" w:fill="B6DE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discussed further in Note 10,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gain/(loss) related to the change in fair value of the private warrant liability for the three and nine months ended September 30, 2025 was $4.6 million and ($5.8) million, respectively, which is presented within changes in fair value of private warrant liabilities in the condensed 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private warrant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68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2025</w:t>
            </w:r>
          </w:p>
        </w:tc>
        <w:tc>
          <w:tcPr>
            <w:tcW w:w="21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14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8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September 30, 2025</w:t>
            </w:r>
          </w:p>
        </w:tc>
        <w:tc>
          <w:tcPr>
            <w:tcW w:w="21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6,705</w:t>
            </w:r>
          </w:p>
        </w:tc>
        <w:tc>
          <w:tcPr>
            <w:tcW w:w="100" w:type="dxa"/>
            <w:vAlign w:val="bottom"/>
            <w:shd w:val="clear" w:color="auto" w:fill="B6DEE8"/>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820" w:type="dxa"/>
            <w:vAlign w:val="bottom"/>
            <w:tcBorders>
              <w:top w:val="single" w:sz="8" w:color="B6DEE8"/>
            </w:tcBorders>
            <w:shd w:val="clear" w:color="auto" w:fill="B6DEE8"/>
          </w:tcPr>
          <w:p>
            <w:pPr>
              <w:spacing w:after="0" w:line="20" w:lineRule="exact"/>
              <w:rPr>
                <w:sz w:val="1"/>
                <w:szCs w:val="1"/>
                <w:color w:val="auto"/>
              </w:rPr>
            </w:pPr>
          </w:p>
        </w:tc>
        <w:tc>
          <w:tcPr>
            <w:tcW w:w="1480" w:type="dxa"/>
            <w:vAlign w:val="bottom"/>
            <w:tcBorders>
              <w:top w:val="single" w:sz="8" w:color="B6DEE8"/>
            </w:tcBorders>
            <w:shd w:val="clear" w:color="auto" w:fill="B6DE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used a Black-Scholes option pricing model to determine the fair value of the private warrant liability. The following table presents the assumptions used to value the private warrant liability for the three months ended September 30, 2025:</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40" w:type="dxa"/>
            <w:vAlign w:val="bottom"/>
            <w:shd w:val="clear" w:color="auto" w:fill="B7DEE8"/>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r>
      <w:tr>
        <w:trPr>
          <w:trHeight w:val="216"/>
        </w:trPr>
        <w:tc>
          <w:tcPr>
            <w:tcW w:w="47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40" w:type="dxa"/>
            <w:vAlign w:val="bottom"/>
            <w:shd w:val="clear" w:color="auto" w:fill="B7DEE8"/>
          </w:tcPr>
          <w:p>
            <w:pPr>
              <w:spacing w:after="0"/>
              <w:rPr>
                <w:sz w:val="18"/>
                <w:szCs w:val="18"/>
                <w:color w:val="auto"/>
              </w:rPr>
            </w:pPr>
          </w:p>
        </w:tc>
        <w:tc>
          <w:tcPr>
            <w:tcW w:w="14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384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1.26 years</w:t>
            </w:r>
          </w:p>
        </w:tc>
      </w:tr>
      <w:tr>
        <w:trPr>
          <w:trHeight w:val="216"/>
        </w:trPr>
        <w:tc>
          <w:tcPr>
            <w:tcW w:w="47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40" w:type="dxa"/>
            <w:vAlign w:val="bottom"/>
            <w:shd w:val="clear" w:color="auto" w:fill="B7DEE8"/>
          </w:tcPr>
          <w:p>
            <w:pPr>
              <w:spacing w:after="0"/>
              <w:rPr>
                <w:sz w:val="18"/>
                <w:szCs w:val="18"/>
                <w:color w:val="auto"/>
              </w:rPr>
            </w:pPr>
          </w:p>
        </w:tc>
        <w:tc>
          <w:tcPr>
            <w:tcW w:w="14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Liability:</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part of the recapitalization and business combination in January 2022, 49,563 shares of Class A Common Stock held by founders of VPCC are subject to forfeiture if the vesting condition is not met over the five-year term following the Closing Date (“Founder Holder Earnout Shares”). These Founder Holder Earnout Shares were initially recorded as a liability at fair value and subsequently recorded at fair value at each reporting period, with changes in fair value reflected in earnings. The gain/(loss) related to the change in fair value of the Founder Holder Earnout Shares liabilities for the three and nine months ended September 30, 2025, was $4.8 million and ($2.7) million, respectively, which are presented within changes in fair value of earnout liabilities in the condensed 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Founder Holder Earnout Shares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74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2025</w:t>
            </w:r>
          </w:p>
        </w:tc>
        <w:tc>
          <w:tcPr>
            <w:tcW w:w="15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4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September 30, 2025</w:t>
            </w:r>
          </w:p>
        </w:tc>
        <w:tc>
          <w:tcPr>
            <w:tcW w:w="1560" w:type="dxa"/>
            <w:vAlign w:val="bottom"/>
            <w:gridSpan w:val="2"/>
            <w:shd w:val="clear" w:color="auto" w:fill="B6DEE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3,651</w:t>
            </w:r>
          </w:p>
        </w:tc>
        <w:tc>
          <w:tcPr>
            <w:tcW w:w="100" w:type="dxa"/>
            <w:vAlign w:val="bottom"/>
            <w:shd w:val="clear" w:color="auto" w:fill="B6DEE8"/>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420" w:type="dxa"/>
            <w:vAlign w:val="bottom"/>
            <w:tcBorders>
              <w:top w:val="single" w:sz="8" w:color="B6DEE8"/>
            </w:tcBorders>
            <w:shd w:val="clear" w:color="auto" w:fill="B6DEE8"/>
          </w:tcPr>
          <w:p>
            <w:pPr>
              <w:spacing w:after="0" w:line="20" w:lineRule="exact"/>
              <w:rPr>
                <w:sz w:val="1"/>
                <w:szCs w:val="1"/>
                <w:color w:val="auto"/>
              </w:rPr>
            </w:pPr>
          </w:p>
        </w:tc>
        <w:tc>
          <w:tcPr>
            <w:tcW w:w="880" w:type="dxa"/>
            <w:vAlign w:val="bottom"/>
            <w:tcBorders>
              <w:top w:val="single" w:sz="8" w:color="B6DEE8"/>
            </w:tcBorders>
            <w:shd w:val="clear" w:color="auto" w:fill="B6DE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used a Monte Carlo Simulation Method to determine the fair value of the Founder Holder Earnout Shares liability. The following table presents the assumptions used to value the Founder Holder Earnout Shares liability for the three months ended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$400-$480</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6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1.27 years</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spacing w:after="0"/>
              <w:rPr>
                <w:sz w:val="20"/>
                <w:szCs w:val="20"/>
                <w:color w:val="auto"/>
              </w:rPr>
            </w:pPr>
          </w:p>
        </w:tc>
      </w:tr>
      <w:tr>
        <w:trPr>
          <w:trHeight w:val="1366"/>
        </w:trPr>
        <w:tc>
          <w:tcPr>
            <w:tcW w:w="5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other assets or liabilities that were required to be measured at fair value on a recurring basis as of September 30, 2025 and December 31,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no shares of preferred stock were outstanding.</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V Common Stock</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 As of September 30, 2025, the Company had 12,452,402 and 1,314,082 shares of Class A Common Stock and Class V Common Stock issued, respectively. As of September 30, 2025, the Company had 12,189,314 and 1,314,082 shares of Class A Common Stock and Class V Common Stock outstanding,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Share Settlement of RSU Tax Withholding</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2021 Equity Incentive Plan (the “2021 Plan”) expressly authorizes share withholding (net settlement) to satisfy tax obligations related to equity awards. In a net share settlement, the Company withholds a portion of the shares that would otherwise be delivered to the employee upon vesting, in an amount sufficient to cover the employee’s minimum statutory tax withholding requirements, and remits the equivalent value in cash to the tax authorities.</w:t>
      </w:r>
    </w:p>
    <w:p>
      <w:pPr>
        <w:spacing w:after="0" w:line="9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the Company satisfied employee tax withholding obligations upon the vesting of restricted stock units using a net share settlement method. Accordingly, the Company used approximately $13.3 million in cash during the quarter to fund these tax payments on the employees’ behalf, which resulted in 132,312 shares not issued to employees.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Stock-Based Compensation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2017, the Company’s Board of Directors adopted the Dave Inc. 2017 Stock Plan (the “2017 Plan”). The 2017 Plan authorized the award of stock options, restricted stock, and restricted stock units. On January 4, 2022, the stockholders of the Company approved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recognized $7.2 million and $23.0 million of stock-based compensation expense arising from stock options, restricted stock unit grants and performance-based restricted stock unit grants which is recorded as a component of compensation and benefits in the condensed consolidated statements of operations for the three and nine months ended September 30, 2025, respectively. The Company recognized $13.4 million and $27.2 million of stock-based compensation expense arising from stock option and restricted stock unit grants for the three and nine months ended September 30, 2024,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of time that options are expected to be outstanding. As the Company does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behavior, it determines the expected life assumption using the simplified method, which is an average of the contractual term of the option and its vesting period.</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 free interest rate</w:t>
      </w:r>
      <w:r>
        <w:rPr>
          <w:rFonts w:ascii="Times New Roman" w:cs="Times New Roman" w:eastAsia="Times New Roman" w:hAnsi="Times New Roman"/>
          <w:sz w:val="18"/>
          <w:szCs w:val="18"/>
          <w:color w:val="auto"/>
        </w:rPr>
        <w:t>—The risk-free interest rate is based on the implied yield available on U.S. Treasury issues with an equivalent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the options depending on the date of the grant and expected life of the options.</w:t>
      </w:r>
    </w:p>
    <w:p>
      <w:pPr>
        <w:spacing w:after="0" w:line="15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bases the expected dividend yield assumption on the fact that it has never paid cash dividends and has no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to pay cash dividends.</w:t>
      </w:r>
    </w:p>
    <w:p>
      <w:pPr>
        <w:spacing w:after="0" w:line="1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the Company’s limited operating history and lack of company-specific historical or implied volatility,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with respect to stock options is summarized as follows: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38"/>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0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Options outstanding, January 1, 2025</w:t>
            </w:r>
          </w:p>
        </w:tc>
        <w:tc>
          <w:tcPr>
            <w:tcW w:w="14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558,379</w:t>
            </w:r>
          </w:p>
        </w:tc>
        <w:tc>
          <w:tcPr>
            <w:tcW w:w="100" w:type="dxa"/>
            <w:vAlign w:val="bottom"/>
            <w:shd w:val="clear" w:color="auto" w:fill="B7DEE8"/>
          </w:tcPr>
          <w:p>
            <w:pPr>
              <w:spacing w:after="0"/>
              <w:rPr>
                <w:sz w:val="18"/>
                <w:szCs w:val="18"/>
                <w:color w:val="auto"/>
              </w:rPr>
            </w:pPr>
          </w:p>
        </w:tc>
        <w:tc>
          <w:tcPr>
            <w:tcW w:w="280" w:type="dxa"/>
            <w:vAlign w:val="bottom"/>
            <w:gridSpan w:val="2"/>
            <w:shd w:val="clear" w:color="auto" w:fill="B7DEE8"/>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4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100" w:type="dxa"/>
            <w:vAlign w:val="bottom"/>
            <w:shd w:val="clear" w:color="auto" w:fill="B7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(107,022)</w:t>
            </w:r>
          </w:p>
        </w:tc>
        <w:tc>
          <w:tcPr>
            <w:tcW w:w="280" w:type="dxa"/>
            <w:vAlign w:val="bottom"/>
            <w:gridSpan w:val="2"/>
            <w:shd w:val="clear" w:color="auto" w:fill="B7DEE8"/>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shd w:val="clear" w:color="auto" w:fill="B7DEE8"/>
          </w:tcPr>
          <w:p>
            <w:pPr>
              <w:spacing w:after="0"/>
              <w:rPr>
                <w:sz w:val="18"/>
                <w:szCs w:val="18"/>
                <w:color w:val="auto"/>
              </w:rPr>
            </w:pPr>
          </w:p>
        </w:tc>
        <w:tc>
          <w:tcPr>
            <w:tcW w:w="1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1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280" w:type="dxa"/>
            <w:vAlign w:val="bottom"/>
            <w:gridSpan w:val="2"/>
            <w:shd w:val="clear" w:color="auto" w:fill="B7DEE8"/>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shd w:val="clear" w:color="auto" w:fill="B7DEE8"/>
          </w:tcPr>
          <w:p>
            <w:pPr>
              <w:spacing w:after="0"/>
              <w:rPr>
                <w:sz w:val="18"/>
                <w:szCs w:val="18"/>
                <w:color w:val="auto"/>
              </w:rPr>
            </w:pPr>
          </w:p>
        </w:tc>
        <w:tc>
          <w:tcPr>
            <w:tcW w:w="1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1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06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Options outstanding, September 30, 2025</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450,559</w:t>
            </w:r>
          </w:p>
        </w:tc>
        <w:tc>
          <w:tcPr>
            <w:tcW w:w="100" w:type="dxa"/>
            <w:vAlign w:val="bottom"/>
            <w:tcBorders>
              <w:top w:val="single" w:sz="8" w:color="B7DEE8"/>
            </w:tcBorders>
          </w:tcPr>
          <w:p>
            <w:pPr>
              <w:spacing w:after="0"/>
              <w:rPr>
                <w:sz w:val="18"/>
                <w:szCs w:val="18"/>
                <w:color w:val="auto"/>
              </w:rPr>
            </w:pPr>
          </w:p>
        </w:tc>
        <w:tc>
          <w:tcPr>
            <w:tcW w:w="280" w:type="dxa"/>
            <w:vAlign w:val="bottom"/>
            <w:tcBorders>
              <w:top w:val="single" w:sz="8" w:color="B7DEE8"/>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8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B7DEE8"/>
            </w:tcBorders>
          </w:tcPr>
          <w:p>
            <w:pPr>
              <w:spacing w:after="0"/>
              <w:rPr>
                <w:sz w:val="18"/>
                <w:szCs w:val="18"/>
                <w:color w:val="auto"/>
              </w:rPr>
            </w:pPr>
          </w:p>
        </w:tc>
        <w:tc>
          <w:tcPr>
            <w:tcW w:w="160" w:type="dxa"/>
            <w:vAlign w:val="bottom"/>
            <w:tcBorders>
              <w:top w:val="single" w:sz="8" w:color="B7DEE8"/>
            </w:tcBorders>
          </w:tcPr>
          <w:p>
            <w:pPr>
              <w:spacing w:after="0"/>
              <w:rPr>
                <w:sz w:val="18"/>
                <w:szCs w:val="18"/>
                <w:color w:val="auto"/>
              </w:rPr>
            </w:pPr>
          </w:p>
        </w:tc>
        <w:tc>
          <w:tcPr>
            <w:tcW w:w="112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81,137</w:t>
            </w:r>
          </w:p>
        </w:tc>
        <w:tc>
          <w:tcPr>
            <w:tcW w:w="100" w:type="dxa"/>
            <w:vAlign w:val="bottom"/>
            <w:tcBorders>
              <w:top w:val="single" w:sz="8" w:color="B7DEE8"/>
            </w:tcBorders>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Nonvested options, September 30, 2025</w:t>
            </w:r>
          </w:p>
        </w:tc>
        <w:tc>
          <w:tcPr>
            <w:tcW w:w="14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238,680</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B7DEE8"/>
            </w:tcBorders>
            <w:shd w:val="clear" w:color="auto" w:fill="B7DEE8"/>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48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B7DEE8"/>
            </w:tcBorders>
            <w:shd w:val="clear" w:color="auto" w:fill="B7DEE8"/>
          </w:tcPr>
          <w:p>
            <w:pPr>
              <w:spacing w:after="0"/>
              <w:rPr>
                <w:sz w:val="18"/>
                <w:szCs w:val="18"/>
                <w:color w:val="auto"/>
              </w:rPr>
            </w:pPr>
          </w:p>
        </w:tc>
        <w:tc>
          <w:tcPr>
            <w:tcW w:w="160" w:type="dxa"/>
            <w:vAlign w:val="bottom"/>
            <w:tcBorders>
              <w:bottom w:val="single" w:sz="8" w:color="B7DEE8"/>
            </w:tcBorders>
            <w:shd w:val="clear" w:color="auto" w:fill="B7DEE8"/>
          </w:tcPr>
          <w:p>
            <w:pPr>
              <w:spacing w:after="0"/>
              <w:rPr>
                <w:sz w:val="18"/>
                <w:szCs w:val="18"/>
                <w:color w:val="auto"/>
              </w:rPr>
            </w:pPr>
          </w:p>
        </w:tc>
        <w:tc>
          <w:tcPr>
            <w:tcW w:w="112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100" w:type="dxa"/>
            <w:vAlign w:val="bottom"/>
            <w:tcBorders>
              <w:bottom w:val="single" w:sz="8" w:color="B7DEE8"/>
            </w:tcBorders>
            <w:shd w:val="clear" w:color="auto" w:fill="B7DEE8"/>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September 30,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211,879</w:t>
            </w:r>
          </w:p>
        </w:tc>
        <w:tc>
          <w:tcPr>
            <w:tcW w:w="100" w:type="dxa"/>
            <w:vAlign w:val="bottom"/>
          </w:tcPr>
          <w:p>
            <w:pPr>
              <w:spacing w:after="0"/>
              <w:rPr>
                <w:sz w:val="18"/>
                <w:szCs w:val="18"/>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-453390</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-170815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September 30, 2025, total estimated unrecognized stock-based compensation cost related to unvested stock options prior to that date was $1.2 million, which is expected to be recognized over a weighted-average remaining period of 2.7 years.</w:t>
      </w:r>
    </w:p>
    <w:p>
      <w:pPr>
        <w:spacing w:after="0" w:line="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 million. The options have a strike price of $23.16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During the quarter ended June 30, 2025, a price target milestone was achieved and 119,321 stock options were considered vested.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options granted to the Chief Executive Officer on the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520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10.0 years</w:t>
            </w:r>
          </w:p>
        </w:tc>
      </w:tr>
      <w:tr>
        <w:trPr>
          <w:trHeight w:val="216"/>
        </w:trPr>
        <w:tc>
          <w:tcPr>
            <w:tcW w:w="580" w:type="dxa"/>
            <w:vAlign w:val="bottom"/>
          </w:tcPr>
          <w:p>
            <w:pPr>
              <w:spacing w:after="0"/>
              <w:rPr>
                <w:sz w:val="18"/>
                <w:szCs w:val="18"/>
                <w:color w:val="auto"/>
              </w:rPr>
            </w:pPr>
          </w:p>
        </w:tc>
        <w:tc>
          <w:tcPr>
            <w:tcW w:w="5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60" w:type="dxa"/>
            <w:vAlign w:val="bottom"/>
          </w:tcPr>
          <w:p>
            <w:pPr>
              <w:spacing w:after="0"/>
              <w:rPr>
                <w:sz w:val="18"/>
                <w:szCs w:val="18"/>
                <w:color w:val="auto"/>
              </w:rPr>
            </w:pPr>
          </w:p>
        </w:tc>
      </w:tr>
      <w:tr>
        <w:trPr>
          <w:trHeight w:val="1370"/>
        </w:trPr>
        <w:tc>
          <w:tcPr>
            <w:tcW w:w="5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RSUs is summarized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0" w:type="dxa"/>
            <w:vAlign w:val="bottom"/>
          </w:tcPr>
          <w:p>
            <w:pPr>
              <w:spacing w:after="0"/>
              <w:rPr>
                <w:sz w:val="1"/>
                <w:szCs w:val="1"/>
                <w:color w:val="auto"/>
              </w:rPr>
            </w:pPr>
          </w:p>
        </w:tc>
      </w:tr>
      <w:tr>
        <w:trPr>
          <w:trHeight w:val="238"/>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2025</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1,200,868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231,389</w:t>
            </w:r>
          </w:p>
        </w:tc>
        <w:tc>
          <w:tcPr>
            <w:tcW w:w="140" w:type="dxa"/>
            <w:vAlign w:val="bottom"/>
            <w:shd w:val="clear" w:color="auto" w:fill="B7DEE8"/>
          </w:tcPr>
          <w:p>
            <w:pPr>
              <w:spacing w:after="0"/>
              <w:rPr>
                <w:sz w:val="18"/>
                <w:szCs w:val="18"/>
                <w:color w:val="auto"/>
              </w:rPr>
            </w:pP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 and Released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(515,711)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shd w:val="clear" w:color="auto" w:fill="B7DEE8"/>
          </w:tcPr>
          <w:p>
            <w:pPr>
              <w:spacing w:after="0"/>
              <w:rPr>
                <w:sz w:val="18"/>
                <w:szCs w:val="18"/>
                <w:color w:val="auto"/>
              </w:rPr>
            </w:pPr>
          </w:p>
        </w:tc>
        <w:tc>
          <w:tcPr>
            <w:tcW w:w="880" w:type="dxa"/>
            <w:vAlign w:val="bottom"/>
            <w:gridSpan w:val="2"/>
            <w:shd w:val="clear" w:color="auto" w:fill="B7DEE8"/>
          </w:tcPr>
          <w:p>
            <w:pPr>
              <w:jc w:val="right"/>
              <w:ind w:right="80"/>
              <w:spacing w:after="0"/>
              <w:rPr>
                <w:sz w:val="20"/>
                <w:szCs w:val="20"/>
                <w:color w:val="auto"/>
              </w:rPr>
            </w:pPr>
            <w:r>
              <w:rPr>
                <w:rFonts w:ascii="Times New Roman" w:cs="Times New Roman" w:eastAsia="Times New Roman" w:hAnsi="Times New Roman"/>
                <w:sz w:val="18"/>
                <w:szCs w:val="18"/>
                <w:color w:val="auto"/>
              </w:rPr>
              <w:t>(104,342)</w:t>
            </w: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B7DE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September 30, 2025</w:t>
            </w:r>
          </w:p>
        </w:tc>
        <w:tc>
          <w:tcPr>
            <w:tcW w:w="1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812,204</w:t>
            </w:r>
          </w:p>
        </w:tc>
        <w:tc>
          <w:tcPr>
            <w:tcW w:w="140" w:type="dxa"/>
            <w:vAlign w:val="bottom"/>
            <w:tcBorders>
              <w:top w:val="single" w:sz="8" w:color="B7DEE8"/>
            </w:tcBorders>
          </w:tcPr>
          <w:p>
            <w:pPr>
              <w:spacing w:after="0"/>
              <w:rPr>
                <w:sz w:val="18"/>
                <w:szCs w:val="18"/>
                <w:color w:val="auto"/>
              </w:rPr>
            </w:pPr>
          </w:p>
        </w:tc>
        <w:tc>
          <w:tcPr>
            <w:tcW w:w="28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September 30, 2025, total estimated unrecognized stock-based compensation cost related to nonvested RSUs was approximately $34.7 million, which is expected to be recognized over a weighted-average period of 2.9 years.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2023, the Company granted 629,454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that contain service and market conditions on the grant date:</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54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bl>
    <w:p>
      <w:pPr>
        <w:spacing w:after="0" w:line="1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w:t>
      </w:r>
    </w:p>
    <w:p>
      <w:pPr>
        <w:spacing w:after="0" w:line="8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October 2023 that contain service and market conditions on the grant date:</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 years</w:t>
            </w:r>
          </w:p>
        </w:tc>
      </w:tr>
      <w:tr>
        <w:trPr>
          <w:trHeight w:val="216"/>
        </w:trPr>
        <w:tc>
          <w:tcPr>
            <w:tcW w:w="54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bl>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quarter ended June 30, 2024, the Company's Board of Directors approved a modification to the price targets in the market conditions and the addition of alternative performance conditions for 333,275 unvested RSUs. The modification of the unvested RSUs resulted in an incremental stock-based compensation expense of $1.0 million, which will be expensed monthly over the derived service period. The weighted average modification-date fair value of the RSUs was $5.36 per award. The Company determined the fair value of the RSUs on the modification date using a Monte Carlo simulation with key inputs and assumptions such as stock price, term, risk-free interest rate, and volatility. The derived service periods determined by the valuation range from approximately one year to approximately two years. The RSUs will be expensed monthly over the derived service period unless vesting conditions for a particular tranche are met, at which point all remaining compensation charges will be expensed in the period in which the vesting conditions were met. As a result of the modification, the RSUs are now classified as performance-based RSUs and included in the activity table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modified during the quarter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tbl>
      <w:tblPr>
        <w:tblLayout w:type="fixed"/>
        <w:tblInd w:w="58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4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2024, the Company's Board of Directors approved a modification to the price targets in the market conditions and the addition of alternative performance conditions for 50,000 unvested RSUs and during the quarter the Company achieved the performance conditions. The modification and achievement of the performance conditions resulted in an incremental cumulative stock-based compensation expense of approximately $0.4 million. As a result of the modification, the RSUs were classified as performance-based RSUs and included in the activity table below. As of September 30, 2025, the 50,000 performance-based RSUs were vested and issued based upon the achievement of the remaining service requirement as outlined in the award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RSUs to certain executives and employees as part of its long-term incentive plan. The performance-based RSUs are subject to the attainment of defined performance and service conditions, such as specific adjusted EBITDA targets and specific share price targets, both subject to continued employment with the Company through certain dates. The actual number of shares subject to the award is determined at the end of the performance period and may range from 0% to 150% of the target shares granted depending upon the terms of the award. Compensation cost is recognized over the requisite service period if and when the Company concludes it is probable that the performance metrics will be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Performance-Based RSUs is summarized as follows: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0" w:type="dxa"/>
            <w:vAlign w:val="bottom"/>
          </w:tcPr>
          <w:p>
            <w:pPr>
              <w:spacing w:after="0"/>
              <w:rPr>
                <w:sz w:val="1"/>
                <w:szCs w:val="1"/>
                <w:color w:val="auto"/>
              </w:rPr>
            </w:pPr>
          </w:p>
        </w:tc>
      </w:tr>
      <w:tr>
        <w:trPr>
          <w:trHeight w:val="238"/>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2025</w:t>
            </w:r>
          </w:p>
        </w:tc>
        <w:tc>
          <w:tcPr>
            <w:tcW w:w="13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185,055</w:t>
            </w:r>
          </w:p>
        </w:tc>
        <w:tc>
          <w:tcPr>
            <w:tcW w:w="140" w:type="dxa"/>
            <w:vAlign w:val="bottom"/>
            <w:shd w:val="clear" w:color="auto" w:fill="B7DEE8"/>
          </w:tcPr>
          <w:p>
            <w:pPr>
              <w:spacing w:after="0"/>
              <w:rPr>
                <w:sz w:val="18"/>
                <w:szCs w:val="18"/>
                <w:color w:val="auto"/>
              </w:rPr>
            </w:pP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 and Released</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(210,453)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B7DEE8"/>
          </w:tcPr>
          <w:p>
            <w:pPr>
              <w:spacing w:after="0"/>
              <w:rPr>
                <w:sz w:val="18"/>
                <w:szCs w:val="18"/>
                <w:color w:val="auto"/>
              </w:rPr>
            </w:pPr>
          </w:p>
        </w:tc>
        <w:tc>
          <w:tcPr>
            <w:tcW w:w="840" w:type="dxa"/>
            <w:vAlign w:val="bottom"/>
            <w:gridSpan w:val="2"/>
            <w:shd w:val="clear" w:color="auto" w:fill="B7DEE8"/>
          </w:tcPr>
          <w:p>
            <w:pPr>
              <w:jc w:val="right"/>
              <w:ind w:right="80"/>
              <w:spacing w:after="0"/>
              <w:rPr>
                <w:sz w:val="20"/>
                <w:szCs w:val="20"/>
                <w:color w:val="auto"/>
              </w:rPr>
            </w:pPr>
            <w:r>
              <w:rPr>
                <w:rFonts w:ascii="Times New Roman" w:cs="Times New Roman" w:eastAsia="Times New Roman" w:hAnsi="Times New Roman"/>
                <w:sz w:val="18"/>
                <w:szCs w:val="18"/>
                <w:color w:val="auto"/>
              </w:rPr>
              <w:t>(21,142)</w:t>
            </w: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B7DE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September 30, 2025</w:t>
            </w:r>
          </w:p>
        </w:tc>
        <w:tc>
          <w:tcPr>
            <w:tcW w:w="1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291,512</w:t>
            </w:r>
          </w:p>
        </w:tc>
        <w:tc>
          <w:tcPr>
            <w:tcW w:w="140" w:type="dxa"/>
            <w:vAlign w:val="bottom"/>
            <w:tcBorders>
              <w:top w:val="single" w:sz="8" w:color="B7DEE8"/>
            </w:tcBorders>
          </w:tcPr>
          <w:p>
            <w:pPr>
              <w:spacing w:after="0"/>
              <w:rPr>
                <w:sz w:val="18"/>
                <w:szCs w:val="18"/>
                <w:color w:val="auto"/>
              </w:rPr>
            </w:pPr>
          </w:p>
        </w:tc>
        <w:tc>
          <w:tcPr>
            <w:tcW w:w="28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B7DEE8"/>
          </w:tcPr>
          <w:p>
            <w:pPr>
              <w:spacing w:after="0"/>
              <w:rPr>
                <w:sz w:val="17"/>
                <w:szCs w:val="17"/>
                <w:color w:val="auto"/>
              </w:rPr>
            </w:pPr>
          </w:p>
        </w:tc>
        <w:tc>
          <w:tcPr>
            <w:tcW w:w="1320" w:type="dxa"/>
            <w:vAlign w:val="bottom"/>
            <w:shd w:val="clear" w:color="auto" w:fill="B7DEE8"/>
          </w:tcPr>
          <w:p>
            <w:pPr>
              <w:spacing w:after="0"/>
              <w:rPr>
                <w:sz w:val="17"/>
                <w:szCs w:val="17"/>
                <w:color w:val="auto"/>
              </w:rPr>
            </w:pPr>
          </w:p>
        </w:tc>
        <w:tc>
          <w:tcPr>
            <w:tcW w:w="700" w:type="dxa"/>
            <w:vAlign w:val="bottom"/>
            <w:shd w:val="clear" w:color="auto" w:fill="B7DEE8"/>
          </w:tcPr>
          <w:p>
            <w:pPr>
              <w:spacing w:after="0"/>
              <w:rPr>
                <w:sz w:val="17"/>
                <w:szCs w:val="17"/>
                <w:color w:val="auto"/>
              </w:rPr>
            </w:pPr>
          </w:p>
        </w:tc>
        <w:tc>
          <w:tcPr>
            <w:tcW w:w="1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180" w:type="dxa"/>
            <w:vAlign w:val="bottom"/>
            <w:shd w:val="clear" w:color="auto" w:fill="B7DEE8"/>
          </w:tcPr>
          <w:p>
            <w:pPr>
              <w:spacing w:after="0"/>
              <w:rPr>
                <w:sz w:val="17"/>
                <w:szCs w:val="17"/>
                <w:color w:val="auto"/>
              </w:rPr>
            </w:pPr>
          </w:p>
        </w:tc>
        <w:tc>
          <w:tcPr>
            <w:tcW w:w="180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-307975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achieved certain performance conditions as outlined in its grant agreements and recorded a cumulative stock-based compensation expense of approximately $5.6 million.</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September 30, 2025, total estimated unrecognized stock-based compensation cost related to nonvested performance-based RSUs was approximately $13.0 million, which is expected to be recognized over a weighted-average period of 1.6 years.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Leasing Arrangements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2025, the Company paid $0.1 million and $0.3 million, respectively, under lease agreements with PCJW, which is controlled by the Company's founders (including the Company's current CEO), for general office space in Los Angeles, California. During the three and nine months ended September 30, 2024, the Company paid $0.1 million and $0.3 million, respectively, under the lease agreements with PCJW.</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is a schedule of future minimum rental payments as of September 30, 2025 under Company’s sublease for the properties located in Los Angeles, California, signed with PCJW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7" w:name="page38"/>
    <w:bookmarkEnd w:id="37"/>
    <w:tbl>
      <w:tblPr>
        <w:tblLayout w:type="fixed"/>
        <w:tblInd w:w="58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Related-Party</w:t>
            </w:r>
          </w:p>
        </w:tc>
      </w:tr>
      <w:tr>
        <w:trPr>
          <w:trHeight w:val="211"/>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8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2025 (remaining)</w:t>
            </w:r>
          </w:p>
        </w:tc>
        <w:tc>
          <w:tcPr>
            <w:tcW w:w="220" w:type="dxa"/>
            <w:vAlign w:val="bottom"/>
            <w:shd w:val="clear" w:color="auto" w:fill="B6DEE8"/>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B6DEE8"/>
          </w:tcPr>
          <w:p>
            <w:pPr>
              <w:spacing w:after="0"/>
              <w:rPr>
                <w:sz w:val="17"/>
                <w:szCs w:val="17"/>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r>
      <w:tr>
        <w:trPr>
          <w:trHeight w:val="216"/>
        </w:trPr>
        <w:tc>
          <w:tcPr>
            <w:tcW w:w="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78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B6DEE8"/>
          </w:tcPr>
          <w:p>
            <w:pPr>
              <w:spacing w:after="0"/>
              <w:rPr>
                <w:sz w:val="18"/>
                <w:szCs w:val="18"/>
                <w:color w:val="auto"/>
              </w:rPr>
            </w:pPr>
          </w:p>
        </w:tc>
      </w:tr>
      <w:tr>
        <w:trPr>
          <w:trHeight w:val="216"/>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7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0"/>
        </w:trPr>
        <w:tc>
          <w:tcPr>
            <w:tcW w:w="818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20" w:type="dxa"/>
            <w:vAlign w:val="bottom"/>
            <w:tcBorders>
              <w:bottom w:val="single" w:sz="8" w:color="auto"/>
            </w:tcBorders>
            <w:shd w:val="clear" w:color="auto" w:fill="B6DEE8"/>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09"/>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49"/>
        </w:trPr>
        <w:tc>
          <w:tcPr>
            <w:tcW w:w="818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top w:val="single" w:sz="8" w:color="auto"/>
              <w:bottom w:val="single" w:sz="8" w:color="auto"/>
            </w:tcBorders>
            <w:shd w:val="clear" w:color="auto" w:fill="B6DEE8"/>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related-party components of the lease right-of-use assets, lease liabilities, short-term, and lease liabilities, long-term are presented as part of the right-of-use asset and lease liability on the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Facility</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Brendan Carroll, a Senior Partner at Victory Park Capital Advisors, LLC ("VPC"), joined the board of directors of the Company upon closing of the Business Combination. Interest expense related to the Debt Facility totaled $1.8 million and $5.3 million for the three and nine months ended September 30, 2025, respectively. For more information about the Debt Facility with VPC, refer to Note 11, Debt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Services</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law firm of Mitchell Sandler LLC, of which the Company's director Andrea Mitchell is a partner, provided legal services to the Company, which totaled $0.2 million and $0.8 million for the three and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18 401(k) Savings Plan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$0.5 million and $1.6 million for the three and nine months ended September 30, 2025, respectively, and $0.5 million and $1.5 million for the three and nine months ended September 30, 2024,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operations of the Company constitute a single operating and reportable segment. This conclusion reflects the manner in which the Chief Operating Decision Maker ("CODM"), a joint responsibility, shared by the Chief Executive Officer and Chief Financial Officer, reviews financial information and makes operating decisions. The determination of the reportable segment is based on the nature of the Company’s products and services, as well as the financial performance, on a consolidated entity-wide basis, that are regularly reviewed by the CODM to guide resource allocation and assess performance.</w:t>
      </w:r>
    </w:p>
    <w:p>
      <w:pPr>
        <w:spacing w:after="0" w:line="7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operations, all of which are located in the United States, collectively support this single-segment structure. No Member individually contributed to 10% or more of the Company’s revenues for the three and nine months ended September 30, 2025 and 2024.</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Company’s products, services, and the accounting policies applied to its reportable segment, refer to Note 2 Significant Accounting Policies.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key performance measure used by the CODM to make key operating decisions is consolidated net income, as reported in the Consolidated Statement of Operations. This measure to assess overall financial performance, identify areas for operation improvement, resource allocation and the allocation of budget between the provision for credit losses, processing and servicing costs, advertising and marketing, compensation and benefits and other operating expenses. This measure helps to ensure alignment with the Company’s long-term financial objectives and supports consistent evaluation across all business activities.</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segment assets and liabilities reviewed by the CODM are those reported on the Company’s consolidated balance sheets, with particular focus on available liquidity, including cash, cash equivalents, investments, restricted cash, and ExtraCash receivables, offset by current liabilities and outstanding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839470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8" w:name="page39"/>
    <w:bookmarkEnd w:id="38"/>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and reportable segment for the three and nine months ended September 30, 2025 and 2024, respectively:</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Dave Inc.</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4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tcPr>
          <w:p>
            <w:pPr>
              <w:jc w:val="center"/>
              <w:ind w:left="23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20"/>
                <w:szCs w:val="20"/>
                <w:color w:val="auto"/>
              </w:rPr>
            </w:pPr>
          </w:p>
        </w:tc>
        <w:tc>
          <w:tcPr>
            <w:tcW w:w="25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20" w:type="dxa"/>
            <w:vAlign w:val="bottom"/>
            <w:gridSpan w:val="7"/>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7"/>
            <w:vMerge w:val="continue"/>
          </w:tcPr>
          <w:p>
            <w:pPr>
              <w:spacing w:after="0"/>
              <w:rPr>
                <w:sz w:val="18"/>
                <w:szCs w:val="18"/>
                <w:color w:val="auto"/>
              </w:rPr>
            </w:pPr>
          </w:p>
        </w:tc>
        <w:tc>
          <w:tcPr>
            <w:tcW w:w="242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20" w:type="dxa"/>
            <w:vAlign w:val="bottom"/>
            <w:shd w:val="clear" w:color="auto" w:fill="B7DEE8"/>
          </w:tcPr>
          <w:p>
            <w:pPr>
              <w:spacing w:after="0"/>
              <w:rPr>
                <w:sz w:val="16"/>
                <w:szCs w:val="16"/>
                <w:color w:val="auto"/>
              </w:rPr>
            </w:pPr>
          </w:p>
        </w:tc>
        <w:tc>
          <w:tcPr>
            <w:tcW w:w="1420" w:type="dxa"/>
            <w:vAlign w:val="bottom"/>
            <w:tcBorders>
              <w:top w:val="single" w:sz="8" w:color="auto"/>
            </w:tcBorders>
            <w:gridSpan w:val="4"/>
            <w:shd w:val="clear" w:color="auto" w:fill="B7DEE8"/>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top w:val="single" w:sz="8" w:color="auto"/>
            </w:tcBorders>
            <w:gridSpan w:val="2"/>
            <w:shd w:val="clear" w:color="auto" w:fill="B7DEE8"/>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shd w:val="clear" w:color="auto" w:fill="B7DEE8"/>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shd w:val="clear" w:color="auto" w:fill="B7DEE8"/>
          </w:tcPr>
          <w:p>
            <w:pPr>
              <w:spacing w:after="0"/>
              <w:rPr>
                <w:sz w:val="16"/>
                <w:szCs w:val="16"/>
                <w:color w:val="auto"/>
              </w:rPr>
            </w:pPr>
          </w:p>
        </w:tc>
        <w:tc>
          <w:tcPr>
            <w:tcW w:w="1200" w:type="dxa"/>
            <w:vAlign w:val="bottom"/>
            <w:tcBorders>
              <w:top w:val="single" w:sz="8" w:color="auto"/>
            </w:tcBorders>
            <w:gridSpan w:val="3"/>
            <w:shd w:val="clear" w:color="auto" w:fill="B7DEE8"/>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0" w:type="dxa"/>
            <w:vAlign w:val="bottom"/>
            <w:tcBorders>
              <w:top w:val="single" w:sz="8" w:color="auto"/>
            </w:tcBorders>
            <w:gridSpan w:val="2"/>
            <w:shd w:val="clear" w:color="auto" w:fill="B7DEE8"/>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20" w:type="dxa"/>
            <w:vAlign w:val="bottom"/>
            <w:tcBorders>
              <w:bottom w:val="single" w:sz="8" w:color="B7DEE8"/>
            </w:tcBorders>
            <w:shd w:val="clear" w:color="auto" w:fill="B7DEE8"/>
          </w:tcPr>
          <w:p>
            <w:pPr>
              <w:spacing w:after="0"/>
              <w:rPr>
                <w:sz w:val="20"/>
                <w:szCs w:val="20"/>
                <w:color w:val="auto"/>
              </w:rPr>
            </w:pPr>
          </w:p>
        </w:tc>
        <w:tc>
          <w:tcPr>
            <w:tcW w:w="80" w:type="dxa"/>
            <w:vAlign w:val="bottom"/>
            <w:tcBorders>
              <w:bottom w:val="single" w:sz="8" w:color="auto"/>
            </w:tcBorders>
            <w:shd w:val="clear" w:color="auto" w:fill="B7DEE8"/>
          </w:tcPr>
          <w:p>
            <w:pPr>
              <w:spacing w:after="0"/>
              <w:rPr>
                <w:sz w:val="20"/>
                <w:szCs w:val="20"/>
                <w:color w:val="auto"/>
              </w:rPr>
            </w:pPr>
          </w:p>
        </w:tc>
        <w:tc>
          <w:tcPr>
            <w:tcW w:w="1120" w:type="dxa"/>
            <w:vAlign w:val="bottom"/>
            <w:tcBorders>
              <w:bottom w:val="single" w:sz="8" w:color="auto"/>
            </w:tcBorders>
            <w:shd w:val="clear" w:color="auto" w:fill="B7DEE8"/>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B7DEE8"/>
            </w:tcBorders>
            <w:shd w:val="clear" w:color="auto" w:fill="B7DEE8"/>
          </w:tcPr>
          <w:p>
            <w:pPr>
              <w:spacing w:after="0"/>
              <w:rPr>
                <w:sz w:val="20"/>
                <w:szCs w:val="20"/>
                <w:color w:val="auto"/>
              </w:rPr>
            </w:pPr>
          </w:p>
        </w:tc>
        <w:tc>
          <w:tcPr>
            <w:tcW w:w="120" w:type="dxa"/>
            <w:vAlign w:val="bottom"/>
            <w:tcBorders>
              <w:bottom w:val="single" w:sz="8" w:color="B7DEE8"/>
            </w:tcBorders>
            <w:shd w:val="clear" w:color="auto" w:fill="B7DEE8"/>
          </w:tcPr>
          <w:p>
            <w:pPr>
              <w:spacing w:after="0"/>
              <w:rPr>
                <w:sz w:val="20"/>
                <w:szCs w:val="20"/>
                <w:color w:val="auto"/>
              </w:rPr>
            </w:pPr>
          </w:p>
        </w:tc>
        <w:tc>
          <w:tcPr>
            <w:tcW w:w="140" w:type="dxa"/>
            <w:vAlign w:val="bottom"/>
            <w:tcBorders>
              <w:bottom w:val="single" w:sz="8" w:color="auto"/>
            </w:tcBorders>
            <w:shd w:val="clear" w:color="auto" w:fill="B7DEE8"/>
          </w:tcPr>
          <w:p>
            <w:pPr>
              <w:spacing w:after="0"/>
              <w:rPr>
                <w:sz w:val="20"/>
                <w:szCs w:val="20"/>
                <w:color w:val="auto"/>
              </w:rPr>
            </w:pPr>
          </w:p>
        </w:tc>
        <w:tc>
          <w:tcPr>
            <w:tcW w:w="880" w:type="dxa"/>
            <w:vAlign w:val="bottom"/>
            <w:tcBorders>
              <w:bottom w:val="single" w:sz="8" w:color="auto"/>
            </w:tcBorders>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Borders>
              <w:bottom w:val="single" w:sz="8" w:color="B7DEE8"/>
            </w:tcBorders>
            <w:shd w:val="clear" w:color="auto" w:fill="B7DEE8"/>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shd w:val="clear" w:color="auto" w:fill="B7DEE8"/>
          </w:tcPr>
          <w:p>
            <w:pPr>
              <w:spacing w:after="0"/>
              <w:rPr>
                <w:sz w:val="20"/>
                <w:szCs w:val="20"/>
                <w:color w:val="auto"/>
              </w:rPr>
            </w:pPr>
          </w:p>
        </w:tc>
        <w:tc>
          <w:tcPr>
            <w:tcW w:w="1020" w:type="dxa"/>
            <w:vAlign w:val="bottom"/>
            <w:tcBorders>
              <w:bottom w:val="single" w:sz="8" w:color="auto"/>
            </w:tcBorders>
            <w:shd w:val="clear" w:color="auto" w:fill="B7DEE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Borders>
              <w:bottom w:val="single" w:sz="8" w:color="B7DEE8"/>
            </w:tcBorders>
            <w:shd w:val="clear" w:color="auto" w:fill="B7DEE8"/>
          </w:tcPr>
          <w:p>
            <w:pPr>
              <w:spacing w:after="0"/>
              <w:rPr>
                <w:sz w:val="20"/>
                <w:szCs w:val="20"/>
                <w:color w:val="auto"/>
              </w:rPr>
            </w:pPr>
          </w:p>
        </w:tc>
        <w:tc>
          <w:tcPr>
            <w:tcW w:w="80" w:type="dxa"/>
            <w:vAlign w:val="bottom"/>
            <w:tcBorders>
              <w:bottom w:val="single" w:sz="8" w:color="B7DEE8"/>
            </w:tcBorders>
            <w:shd w:val="clear" w:color="auto" w:fill="B7DEE8"/>
          </w:tcPr>
          <w:p>
            <w:pPr>
              <w:spacing w:after="0"/>
              <w:rPr>
                <w:sz w:val="20"/>
                <w:szCs w:val="20"/>
                <w:color w:val="auto"/>
              </w:rPr>
            </w:pPr>
          </w:p>
        </w:tc>
        <w:tc>
          <w:tcPr>
            <w:tcW w:w="140" w:type="dxa"/>
            <w:vAlign w:val="bottom"/>
            <w:tcBorders>
              <w:bottom w:val="single" w:sz="8" w:color="auto"/>
            </w:tcBorders>
            <w:shd w:val="clear" w:color="auto" w:fill="B7DEE8"/>
          </w:tcPr>
          <w:p>
            <w:pPr>
              <w:spacing w:after="0"/>
              <w:rPr>
                <w:sz w:val="20"/>
                <w:szCs w:val="20"/>
                <w:color w:val="auto"/>
              </w:rPr>
            </w:pPr>
          </w:p>
        </w:tc>
        <w:tc>
          <w:tcPr>
            <w:tcW w:w="860" w:type="dxa"/>
            <w:vAlign w:val="bottom"/>
            <w:tcBorders>
              <w:bottom w:val="single" w:sz="8" w:color="auto"/>
            </w:tcBorders>
            <w:shd w:val="clear" w:color="auto" w:fill="B7DEE8"/>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20" w:type="dxa"/>
            <w:vAlign w:val="bottom"/>
            <w:tcBorders>
              <w:bottom w:val="single" w:sz="8" w:color="B7DEE8"/>
            </w:tcBorders>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80" w:type="dxa"/>
            <w:vAlign w:val="bottom"/>
            <w:shd w:val="clear" w:color="auto" w:fill="B7DEE8"/>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358,673</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220,603</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80" w:type="dxa"/>
            <w:vAlign w:val="bottom"/>
            <w:tcBorders>
              <w:bottom w:val="single" w:sz="8" w:color="auto"/>
            </w:tcBorders>
            <w:shd w:val="clear" w:color="auto" w:fill="B7DEE8"/>
          </w:tcPr>
          <w:p>
            <w:pPr>
              <w:spacing w:after="0"/>
              <w:rPr>
                <w:sz w:val="18"/>
                <w:szCs w:val="18"/>
                <w:color w:val="auto"/>
              </w:rPr>
            </w:pPr>
          </w:p>
        </w:tc>
        <w:tc>
          <w:tcPr>
            <w:tcW w:w="11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150,725</w:t>
            </w:r>
          </w:p>
        </w:tc>
        <w:tc>
          <w:tcPr>
            <w:tcW w:w="100" w:type="dxa"/>
            <w:vAlign w:val="bottom"/>
            <w:tcBorders>
              <w:bottom w:val="single" w:sz="8" w:color="B7DEE8"/>
            </w:tcBorders>
            <w:shd w:val="clear" w:color="auto" w:fill="B7DEE8"/>
          </w:tcPr>
          <w:p>
            <w:pPr>
              <w:spacing w:after="0"/>
              <w:rPr>
                <w:sz w:val="18"/>
                <w:szCs w:val="18"/>
                <w:color w:val="auto"/>
              </w:rPr>
            </w:pPr>
          </w:p>
        </w:tc>
        <w:tc>
          <w:tcPr>
            <w:tcW w:w="120" w:type="dxa"/>
            <w:vAlign w:val="bottom"/>
            <w:tcBorders>
              <w:bottom w:val="single" w:sz="8" w:color="auto"/>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8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92,489</w:t>
            </w:r>
          </w:p>
        </w:tc>
        <w:tc>
          <w:tcPr>
            <w:tcW w:w="100" w:type="dxa"/>
            <w:vAlign w:val="bottom"/>
            <w:tcBorders>
              <w:bottom w:val="single" w:sz="8" w:color="B7DEE8"/>
            </w:tcBorders>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390,461</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bottom w:val="single" w:sz="8" w:color="auto"/>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8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246,236</w:t>
            </w:r>
          </w:p>
        </w:tc>
        <w:tc>
          <w:tcPr>
            <w:tcW w:w="12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shd w:val="clear" w:color="auto" w:fill="B7DEE8"/>
          </w:tcPr>
          <w:p>
            <w:pPr>
              <w:spacing w:after="0"/>
              <w:rPr>
                <w:sz w:val="18"/>
                <w:szCs w:val="18"/>
                <w:color w:val="auto"/>
              </w:rPr>
            </w:pP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65,744</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80" w:type="dxa"/>
            <w:vAlign w:val="bottom"/>
            <w:shd w:val="clear" w:color="auto" w:fill="B7DEE8"/>
          </w:tcPr>
          <w:p>
            <w:pPr>
              <w:spacing w:after="0"/>
              <w:rPr>
                <w:sz w:val="18"/>
                <w:szCs w:val="18"/>
                <w:color w:val="auto"/>
              </w:rPr>
            </w:pP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Employee salaries and bonuses</w:t>
            </w:r>
          </w:p>
        </w:tc>
        <w:tc>
          <w:tcPr>
            <w:tcW w:w="80" w:type="dxa"/>
            <w:vAlign w:val="bottom"/>
            <w:shd w:val="clear" w:color="auto" w:fill="B7DEE8"/>
          </w:tcPr>
          <w:p>
            <w:pPr>
              <w:spacing w:after="0"/>
              <w:rPr>
                <w:sz w:val="18"/>
                <w:szCs w:val="18"/>
                <w:color w:val="auto"/>
              </w:rPr>
            </w:pP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45,307</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44,811</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compensation costs</w:t>
            </w:r>
          </w:p>
        </w:tc>
        <w:tc>
          <w:tcPr>
            <w:tcW w:w="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B7DEE8"/>
          </w:tcPr>
          <w:p>
            <w:pPr>
              <w:spacing w:after="0"/>
              <w:rPr>
                <w:sz w:val="18"/>
                <w:szCs w:val="18"/>
                <w:color w:val="auto"/>
              </w:rPr>
            </w:pP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Temporary labor and contractors</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Other compensation, benefits and payroll taxes</w:t>
            </w:r>
          </w:p>
        </w:tc>
        <w:tc>
          <w:tcPr>
            <w:tcW w:w="80" w:type="dxa"/>
            <w:vAlign w:val="bottom"/>
            <w:shd w:val="clear" w:color="auto" w:fill="B7DEE8"/>
          </w:tcPr>
          <w:p>
            <w:pPr>
              <w:spacing w:after="0"/>
              <w:rPr>
                <w:sz w:val="18"/>
                <w:szCs w:val="18"/>
                <w:color w:val="auto"/>
              </w:rPr>
            </w:pP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B7DEE8"/>
            </w:tcBorders>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 w:type="dxa"/>
            <w:vAlign w:val="bottom"/>
            <w:tcBorders>
              <w:bottom w:val="single" w:sz="8" w:color="auto"/>
            </w:tcBorders>
            <w:shd w:val="clear" w:color="auto" w:fill="B7DEE8"/>
          </w:tcPr>
          <w:p>
            <w:pPr>
              <w:spacing w:after="0"/>
              <w:rPr>
                <w:sz w:val="18"/>
                <w:szCs w:val="18"/>
                <w:color w:val="auto"/>
              </w:rPr>
            </w:pPr>
          </w:p>
        </w:tc>
        <w:tc>
          <w:tcPr>
            <w:tcW w:w="11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tcBorders>
              <w:bottom w:val="single" w:sz="8" w:color="B7DEE8"/>
            </w:tcBorders>
            <w:shd w:val="clear" w:color="auto" w:fill="B7DEE8"/>
          </w:tcPr>
          <w:p>
            <w:pPr>
              <w:spacing w:after="0"/>
              <w:rPr>
                <w:sz w:val="18"/>
                <w:szCs w:val="18"/>
                <w:color w:val="auto"/>
              </w:rPr>
            </w:pPr>
          </w:p>
        </w:tc>
        <w:tc>
          <w:tcPr>
            <w:tcW w:w="120" w:type="dxa"/>
            <w:vAlign w:val="bottom"/>
            <w:tcBorders>
              <w:bottom w:val="single" w:sz="8" w:color="auto"/>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8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tcBorders>
              <w:bottom w:val="single" w:sz="8" w:color="B7DEE8"/>
            </w:tcBorders>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23,751</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bottom w:val="single" w:sz="8" w:color="auto"/>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8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2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104,827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268,332</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80" w:type="dxa"/>
            <w:vAlign w:val="bottom"/>
            <w:shd w:val="clear" w:color="auto" w:fill="B7DEE8"/>
          </w:tcPr>
          <w:p>
            <w:pPr>
              <w:spacing w:after="0"/>
              <w:rPr>
                <w:sz w:val="18"/>
                <w:szCs w:val="18"/>
                <w:color w:val="auto"/>
              </w:rPr>
            </w:pPr>
          </w:p>
        </w:tc>
        <w:tc>
          <w:tcPr>
            <w:tcW w:w="11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B7DEE8"/>
          </w:tcPr>
          <w:p>
            <w:pPr>
              <w:spacing w:after="0"/>
              <w:rPr>
                <w:sz w:val="18"/>
                <w:szCs w:val="18"/>
                <w:color w:val="auto"/>
              </w:rPr>
            </w:pP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(33,442)</w:t>
            </w: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80" w:type="dxa"/>
            <w:vAlign w:val="bottom"/>
            <w:shd w:val="clear" w:color="auto" w:fill="B7DEE8"/>
          </w:tcPr>
          <w:p>
            <w:pPr>
              <w:spacing w:after="0"/>
              <w:rPr>
                <w:sz w:val="18"/>
                <w:szCs w:val="18"/>
                <w:color w:val="auto"/>
              </w:rPr>
            </w:pPr>
          </w:p>
        </w:tc>
        <w:tc>
          <w:tcPr>
            <w:tcW w:w="12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(4,841)</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9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80" w:type="dxa"/>
            <w:vAlign w:val="bottom"/>
            <w:tcBorders>
              <w:top w:val="single" w:sz="8" w:color="auto"/>
              <w:bottom w:val="single" w:sz="8" w:color="auto"/>
            </w:tcBorders>
            <w:shd w:val="clear" w:color="auto" w:fill="B7DEE8"/>
          </w:tcPr>
          <w:p>
            <w:pPr>
              <w:spacing w:after="0"/>
              <w:rPr>
                <w:sz w:val="18"/>
                <w:szCs w:val="18"/>
                <w:color w:val="auto"/>
              </w:rPr>
            </w:pPr>
          </w:p>
        </w:tc>
        <w:tc>
          <w:tcPr>
            <w:tcW w:w="11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(12,532)</w:t>
            </w:r>
          </w:p>
        </w:tc>
        <w:tc>
          <w:tcPr>
            <w:tcW w:w="100" w:type="dxa"/>
            <w:vAlign w:val="bottom"/>
            <w:tcBorders>
              <w:bottom w:val="single" w:sz="8" w:color="B7DEE8"/>
            </w:tcBorders>
            <w:shd w:val="clear" w:color="auto" w:fill="B7DEE8"/>
          </w:tcPr>
          <w:p>
            <w:pPr>
              <w:spacing w:after="0"/>
              <w:rPr>
                <w:sz w:val="18"/>
                <w:szCs w:val="18"/>
                <w:color w:val="auto"/>
              </w:rPr>
            </w:pPr>
          </w:p>
        </w:tc>
        <w:tc>
          <w:tcPr>
            <w:tcW w:w="120" w:type="dxa"/>
            <w:vAlign w:val="bottom"/>
            <w:tcBorders>
              <w:top w:val="single" w:sz="8" w:color="auto"/>
              <w:bottom w:val="single" w:sz="8" w:color="auto"/>
            </w:tcBorders>
            <w:shd w:val="clear" w:color="auto" w:fill="B7DEE8"/>
          </w:tcPr>
          <w:p>
            <w:pPr>
              <w:spacing w:after="0"/>
              <w:rPr>
                <w:sz w:val="18"/>
                <w:szCs w:val="18"/>
                <w:color w:val="auto"/>
              </w:rPr>
            </w:pPr>
          </w:p>
        </w:tc>
        <w:tc>
          <w:tcPr>
            <w:tcW w:w="140" w:type="dxa"/>
            <w:vAlign w:val="bottom"/>
            <w:tcBorders>
              <w:top w:val="single" w:sz="8" w:color="auto"/>
              <w:bottom w:val="single" w:sz="8" w:color="auto"/>
            </w:tcBorders>
            <w:shd w:val="clear" w:color="auto" w:fill="B7DEE8"/>
          </w:tcPr>
          <w:p>
            <w:pPr>
              <w:spacing w:after="0"/>
              <w:rPr>
                <w:sz w:val="18"/>
                <w:szCs w:val="18"/>
                <w:color w:val="auto"/>
              </w:rPr>
            </w:pPr>
          </w:p>
        </w:tc>
        <w:tc>
          <w:tcPr>
            <w:tcW w:w="88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100" w:type="dxa"/>
            <w:vAlign w:val="bottom"/>
            <w:tcBorders>
              <w:bottom w:val="single" w:sz="8" w:color="B7DEE8"/>
            </w:tcBorders>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shd w:val="clear" w:color="auto" w:fill="B7DEE8"/>
          </w:tcPr>
          <w:p>
            <w:pPr>
              <w:spacing w:after="0"/>
              <w:rPr>
                <w:sz w:val="18"/>
                <w:szCs w:val="18"/>
                <w:color w:val="auto"/>
              </w:rPr>
            </w:pPr>
          </w:p>
        </w:tc>
        <w:tc>
          <w:tcPr>
            <w:tcW w:w="10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18,323</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top w:val="single" w:sz="8" w:color="auto"/>
              <w:bottom w:val="single" w:sz="8" w:color="auto"/>
            </w:tcBorders>
            <w:shd w:val="clear" w:color="auto" w:fill="B7DEE8"/>
          </w:tcPr>
          <w:p>
            <w:pPr>
              <w:spacing w:after="0"/>
              <w:rPr>
                <w:sz w:val="18"/>
                <w:szCs w:val="18"/>
                <w:color w:val="auto"/>
              </w:rPr>
            </w:pPr>
          </w:p>
        </w:tc>
        <w:tc>
          <w:tcPr>
            <w:tcW w:w="140" w:type="dxa"/>
            <w:vAlign w:val="bottom"/>
            <w:tcBorders>
              <w:top w:val="single" w:sz="8" w:color="auto"/>
              <w:bottom w:val="single" w:sz="8" w:color="auto"/>
            </w:tcBorders>
            <w:shd w:val="clear" w:color="auto" w:fill="B7DEE8"/>
          </w:tcPr>
          <w:p>
            <w:pPr>
              <w:spacing w:after="0"/>
              <w:rPr>
                <w:sz w:val="18"/>
                <w:szCs w:val="18"/>
                <w:color w:val="auto"/>
              </w:rPr>
            </w:pPr>
          </w:p>
        </w:tc>
        <w:tc>
          <w:tcPr>
            <w:tcW w:w="86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(29,243)</w:t>
            </w:r>
          </w:p>
        </w:tc>
        <w:tc>
          <w:tcPr>
            <w:tcW w:w="12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provision (benefit) for income taxes</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0" w:type="dxa"/>
            <w:vAlign w:val="bottom"/>
            <w:shd w:val="clear" w:color="auto" w:fill="B7DEE8"/>
          </w:tcPr>
          <w:p>
            <w:pPr>
              <w:spacing w:after="0"/>
              <w:rPr>
                <w:sz w:val="18"/>
                <w:szCs w:val="18"/>
                <w:color w:val="auto"/>
              </w:rPr>
            </w:pPr>
          </w:p>
        </w:tc>
        <w:tc>
          <w:tcPr>
            <w:tcW w:w="12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(33,642)</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B7DEE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1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(26,118)</w:t>
            </w:r>
          </w:p>
        </w:tc>
        <w:tc>
          <w:tcPr>
            <w:tcW w:w="8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92,072</w:t>
            </w:r>
          </w:p>
        </w:tc>
        <w:tc>
          <w:tcPr>
            <w:tcW w:w="100" w:type="dxa"/>
            <w:vAlign w:val="bottom"/>
            <w:tcBorders>
              <w:top w:val="single" w:sz="8" w:color="B7DE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00" w:type="dxa"/>
            <w:vAlign w:val="bottom"/>
            <w:tcBorders>
              <w:top w:val="single" w:sz="8" w:color="B7DEE8"/>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129,924</w:t>
            </w:r>
          </w:p>
        </w:tc>
        <w:tc>
          <w:tcPr>
            <w:tcW w:w="100" w:type="dxa"/>
            <w:vAlign w:val="bottom"/>
            <w:tcBorders>
              <w:top w:val="single" w:sz="8" w:color="B7DEE8"/>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41,067</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-3796665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-3796665</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-3796665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-3796665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-3230880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-3230880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-3230880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-3230880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-1576705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-1576705</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-1576705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-1576705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-453390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-453390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-453390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-453390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-170815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operating expenses primarily include charitable commitments, depreciation and amortization of property and equipment and intangible assets, legal fees and settlements, rent, sales tax-related costs, office expenses, public relations, professional services, travel and entertainment, and insurance. These costs generally reflect our investments in infrastructure, business development, risk management, and administrative costs, and may vary period to period based on operational needs and strategic initiatives.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noncash items that impact net income include provision for credit losses, stock based compensation, depreciation expense, amortization expense (see Note 7, Intangible Assets, Net), changes in fair value of earnout liabilities (see Note 14, Fair Value of Financial Instruments), and changes in fair value of public and private warrant liabilities (see Note 14,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839470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Note 20 Treasury Shares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March 2025, the Company's Board of Directors authorized a share repurchase program under which the Company could repurchase up to $50.0 million of Class A common stock (the "March Repurchase Plan"). During the three months ended March 31, 2025, the Company repurchased 81,370 shares of Class A common stock for an aggregate purchase price of $6.9 million, inclusive of transaction costs.</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2025, the Company repurchased 132,155 shares of Class A common stock under the March Repurchase Plan for an aggregate purchase price of $25.0 million, inclusive of transaction costs. All repurchased shares were funded using general corporate funds, were recorded as treasury shares and are carried at cost as a component of stockholders’ equity on the condensed consolidated balance sheets. No treasury shares were retired or reissued during the period. The Inflation Reduction Act imposed a nondeductible 1% excise tax on the net value of certain share repurchases. During the three months and nine months ended September 30, 2025, the excise tax on net share repurchases was approximately $0.3 million.</w:t>
      </w:r>
    </w:p>
    <w:p>
      <w:pPr>
        <w:spacing w:after="0" w:line="1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August 2025, the Company's Board of Directors authorized a new share repurchase program under which the Company may repurchase up to $125.0 million of outstanding Class A common stock (the "August Repurchase Plan"), which replaced the March Repurchase Plan. Prior to being replaced, $18.1 million remained available for share repurchases under the March Repurchase Plan. The repurchases may be conducted through open market transactions, privately negotiated transactions, block trades, one or more Rule 10b5-1 trading plans or other means our management deems appropriate. The program is part of the Company's capital allocation strategy to return capital to shareholders and manage dilution from equity compensation. The timing, price, and volume of repurchases are subject to management’s discretion and depend on market conditions, legal requirements, and other factors. We may suspend or discontinue the program at any time without prior notice. The program has no expiration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$125.0 million remained available for future repurchases under the current authorization.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our condensed consolidated financial statements and the notes related thereto which are included in Part I, Item 1. “Financial Statements” of this Quarterly Report on Form 10-Q.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“Risk Factors” and elsewhere in our Annual Report on Form 10-K for the year ended December 31, 2024 filed with the Securities and Exchange Commission (the “SEC”) on March 4, 2025 (the “Annual Report”), our Quarterly Report on Form 10-Q for the quarter ended March 31, 2025, our Quarterly Report on Form 10-Q for the quarter ended June 30, 2025 and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Dave was launched in 2017 to provide a faster, more transparent, and lower-cost alternative to traditional financial institutions, particularly for those living paycheck to paycheck. Inspired by the story of David vs. Goliath, we set out to challenge legacy banking by leveraging technology to expand financial access and improve consumer financial health.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engineered a purpose-driven platform designed to deliver on our mission, making a significant impact across the stakeholder groups we serve. Since our inception, over 18 million Members have signed up for the Dave app, with nearly 14 million having used at least one of our products. We have provided Members with nearly $20 billion in ExtraCash, offering critical liquidity when they need it most. To further support our communities, we have donated over $23 million to charity and important causes since inception.</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Customers value our products, as demonstrated by more than 744,000 App Store reviews with an average 4.8-star rating as of October 2025. Our business model is built on transparency and customer alignment and building relationships with our Members that drive positive outcomes for both them and our business.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the core of our success is a world-class team dedicated to delivering on our mission. Dave has been recognized by Built In as a Best Place to Work for five consecutive years, reinforcing our commitment to both our Members and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financial system has historically failed to address the needs of the millions of Americans who are living paycheck to paycheck. According to the Financial Health Network (“FHN”) in 2025, approximately 185 million Americans are classified as financially “coping” or “vulnerable” representing 69% of the U.S. population, up from 66% in 2021. An October 2025 report by PYMNTS also found that 69% of U.S. consumers were living paycheck to paycheck, up from 66% a year earlier. This market includes both young and financially challenged individuals who have trouble managing cash flow, have minimal savings, regularly overdraft, and pay high fees for access to financial services. FHN research estimates there is approximately $43 billion of fees paid annually for access to basic checking services, including account maintenance fees, overdraft fees and ATM fees and that financially vulnerable and coping populations pay over $225 billion in annual fees and interest for short-term credit. We believe these insights are supported by a Dave study of our Members which reveals that traditional financial institutions charge consumers between $300-$400 of fees annually for access to basic checking services. We also believe these trends underscore a growing need for better financial solutions and illustrate the depth of our total addressable market (“TAM”), which we estimate to be approximately 185 million Americans that do not have access to affordable and effective banking solutions.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these high costs are the result of the cost structure of incumbents. With expensive brick-and-mortar bank branch networks, antiquated technology, large employee bases, and inefficient customer acquisition strategies, legacy institutions have significant costs to serve their customers, which drives the high price that customers have to pay for access to their services. By leveraging world-class technology and harnessing the power of data and artificial intelligence, we believe that we have dramatically reduced the costs to serve customers in this market. Through this structural advantage, we are able to provide increased access to banking and credit products at lower costs, resulting in a much stronger value proposition to our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912495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Comparability of Financial Information</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and financial position may not be comparable to historical results as a result of the consummation of the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Growth and Activity</w:t>
      </w:r>
    </w:p>
    <w:p>
      <w:pPr>
        <w:spacing w:after="0" w:line="11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Expansion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w:t>
      </w:r>
    </w:p>
    <w:p>
      <w:pPr>
        <w:spacing w:after="0" w:line="117" w:lineRule="exact"/>
        <w:rPr>
          <w:sz w:val="20"/>
          <w:szCs w:val="20"/>
          <w:color w:val="auto"/>
        </w:rPr>
      </w:pPr>
    </w:p>
    <w:p>
      <w:pPr>
        <w:jc w:val="both"/>
        <w:ind w:right="580"/>
        <w:spacing w:after="0" w:line="282" w:lineRule="auto"/>
        <w:rPr>
          <w:sz w:val="20"/>
          <w:szCs w:val="20"/>
          <w:color w:val="auto"/>
        </w:rPr>
      </w:pPr>
      <w:r>
        <w:rPr>
          <w:rFonts w:ascii="Times New Roman" w:cs="Times New Roman" w:eastAsia="Times New Roman" w:hAnsi="Times New Roman"/>
          <w:sz w:val="18"/>
          <w:szCs w:val="18"/>
          <w:color w:val="auto"/>
        </w:rPr>
        <w:t>We rely on agreements with Evolve Bank &amp; Trust, our primary bank partner, and Coastal Community Bank to provide ExtraCash and other deposit accounts, debit card services and other transaction services to us and our Members. See Part II, Item 1A. “Risk Factors” for additional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Trends/General Economic Conditions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economic cycles to affect our business, financial performance, and financial condition. Macroeconomic conditions, including, but not limited to, regulatory uncertainty, fluctuating interest rates, inflation, tariffs, unemployment rates, consumer sentiment and market volatility may impact consumer spending behavior and consumer demand for financial products. Although business operations have not been materially impacted as of the date of this report, our business, financial condition, results of operations and prospects may be adversely affected due to the ongoing nature of these macroeconomic factors. Interest rates have remained elevated over the last two years, which has increased the costs of borrowing on our Debt Facility. Higher interest rates also often lead to higher payment obligations, which may reduce the ability of Members to repay their ExtraCash and, therefore, lead to increased delinquencies, write-offs and decreased recoveries. We also believe that higher interest rates may increase demand for ExtraCash as consumers seek additional sources of liquidity to help them fund higher costs of living. Additionally, higher levels of unemployment could adversely impact Members’ income levels and, hence, the ability of Members to repay, which could lead to deterioration in credit performance. We believe that our underwriting engine is well positioned to evaluate credit risk in a higher unemployment environment as it analyzes bank account transaction data to assess, nearly in real-time, changes in Members’ income, spending, savings, and employment status. We also believe that demand for ExtraCash may increase in periods of higher unemployment as consumers seek additional sources of liquidity to help them meet their financial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ind w:right="400"/>
        <w:spacing w:after="0" w:line="282" w:lineRule="auto"/>
        <w:rPr>
          <w:sz w:val="20"/>
          <w:szCs w:val="20"/>
          <w:color w:val="auto"/>
        </w:rPr>
      </w:pPr>
      <w:r>
        <w:rPr>
          <w:rFonts w:ascii="Times New Roman" w:cs="Times New Roman" w:eastAsia="Times New Roman" w:hAnsi="Times New Roman"/>
          <w:sz w:val="18"/>
          <w:szCs w:val="18"/>
          <w:color w:val="auto"/>
        </w:rPr>
        <w:t>Currently, we conduct business through one operating segment which constitutes a single reportable segment. For more information about our basis of presentation, refer to Note 2 in the accompanying condensed consolidated financial statements of Dave included in this report.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we revised the presentation of certain items within its condensed consolidated statement of operations. These changes have been applied retrospectively to all periods presented and did not impact previously reported net income or 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44" w:lineRule="exact"/>
        <w:rPr>
          <w:sz w:val="20"/>
          <w:szCs w:val="20"/>
          <w:color w:val="auto"/>
        </w:rPr>
      </w:pPr>
    </w:p>
    <w:p>
      <w:pPr>
        <w:ind w:left="1020" w:right="2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network and transaction costs now appear as a separate line item within operating expenses (formerly included in other operating expenses).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 is now presented as advertising and activation under operating expenses and includes Member activation costs (activation costs were formerly included in processing and servicing costs and other operating expenses).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infrastructure costs now appear as a separate line item within operating expenses (formerly included in other 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processing fees, optional tips, overdraft service fees and subscriptions charged to Members, net of processor-related costs associated with ExtraCash disbursements. Service based revenue, net also consists of lead generation fees from our Side Hustle advertising partners and revenue share from our surveys partner. We discontinued optional tips from our business model in February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our Checking Product, net of interchange fees, ATM-related fees and interest earned by Members. Also included in transaction based revenue are fees earned from funding and withdrawal-related transactions, maintenance fees on inactive accounts, volume support from a certain co-branded agreement and deposit referral fees that are recognized at the point in time the transactions occur, as the performance obligations are satisfied and the variable consideration is not constrained.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operating expenses into the following seven categories: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provision for credit losses primarily consists of an allowance for expected credit losses at a level estimated to be adequate to absorb credit losses inherent in the outstanding ExtraCash receivables, inclusive of outstanding processing and overdraft service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condensed consolidated statement of operations. We consider ExtraCash receivables aged more than 120 days or which become uncollectible based on information available to us as impaired. All impaired ExtraCash receivables are deemed uncollectible and subsequently written off and are a direct reduction to the allowance for credit losses. Subsequent recoveries, if any, of ExtraCash receivables written-off are recorded as a reduction to the provision for credit losses in the condensed consolidated statements of operations when collected.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 Costs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Processing and servicing costs consist of fees paid to our processing partners for the recovery of ExtraCash, optional processing fees, optional tips, overdraft service fees and subscriptions. These expenses also include costs paid for services to connect Members’ bank accounts to our application. Except for processing and servicing costs associated with ExtraCash originations which are recorded net against revenue, all other processing and service costs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Network and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240"/>
        <w:spacing w:after="0" w:line="282" w:lineRule="auto"/>
        <w:rPr>
          <w:sz w:val="20"/>
          <w:szCs w:val="20"/>
          <w:color w:val="auto"/>
        </w:rPr>
      </w:pPr>
      <w:r>
        <w:rPr>
          <w:rFonts w:ascii="Times New Roman" w:cs="Times New Roman" w:eastAsia="Times New Roman" w:hAnsi="Times New Roman"/>
          <w:sz w:val="18"/>
          <w:szCs w:val="18"/>
          <w:color w:val="auto"/>
        </w:rPr>
        <w:t>Financial network and transaction costs primarily consist of program management fees, card network association fees, payment processing costs, losses related to Member-disputed transactions, bank card fees and fraud-related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Activation Costs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Advertising and activation expenses primarily consist of fees paid to our advertising and marketing platform partners for online, social media, and television campaigns, as well as promotional partnerships. These expenses also include activation-related costs, such as third-party fees (e.g., Plaid) incurred to onboard new Members to our platform. Advertising and activation costs are expensed as incurred, even though they may provide benefits over an extended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Infrastructure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Technology and infrastructure costs are associated with third-party Software-as-a-Service (“SaaS”) solutions, including cloud-based platforms that support the development, maintenance, scalability, and security of our products and internal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operating expenses primarily include charitable commitments, depreciation and amortization of property and equipment and intangible assets, legal fees and settlements, rent, sales tax-related costs, office expenses, public relations, professional services, travel and entertainment, and insurance. These costs generally reflect our investments in infrastructure, business development, risk management, and internal controls. As such, they may fluctuate based on strategic priorities and are not always directly correlated with revenue or transaction volume.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Other (income) expenses consist of interest income, interest expense, gain on extinguishment of debt, changes in fair value of earnout liabilities and changes in fair value of warrant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 consists of the federal and state corporate income taxes accrued on income resulting from the sale of our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09"/>
        </w:trPr>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10"/>
        </w:trPr>
        <w:tc>
          <w:tcPr>
            <w:tcW w:w="37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5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2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Processing and overdraft service fees, net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129,195</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58,659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70,536</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7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5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9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18,296</w:t>
            </w: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(18,296)</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9,950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3,617</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7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9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11,496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37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150,725</w:t>
            </w:r>
          </w:p>
        </w:tc>
        <w:tc>
          <w:tcPr>
            <w:tcW w:w="540" w:type="dxa"/>
            <w:vAlign w:val="bottom"/>
            <w:gridSpan w:val="2"/>
            <w:shd w:val="clear" w:color="auto" w:fill="B6DEE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92,489</w:t>
            </w:r>
          </w:p>
        </w:tc>
        <w:tc>
          <w:tcPr>
            <w:tcW w:w="28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58,236</w:t>
            </w:r>
          </w:p>
        </w:tc>
        <w:tc>
          <w:tcPr>
            <w:tcW w:w="220" w:type="dxa"/>
            <w:vAlign w:val="bottom"/>
            <w:shd w:val="clear" w:color="auto" w:fill="B6DEE8"/>
          </w:tcPr>
          <w:p>
            <w:pPr>
              <w:spacing w:after="0"/>
              <w:rPr>
                <w:sz w:val="19"/>
                <w:szCs w:val="19"/>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780" w:type="dxa"/>
            <w:vAlign w:val="bottom"/>
            <w:tcBorders>
              <w:top w:val="single" w:sz="8" w:color="B6DEE8"/>
            </w:tcBorders>
            <w:shd w:val="clear" w:color="auto" w:fill="B6DEE8"/>
          </w:tcPr>
          <w:p>
            <w:pPr>
              <w:spacing w:after="0" w:line="20" w:lineRule="exact"/>
              <w:rPr>
                <w:sz w:val="1"/>
                <w:szCs w:val="1"/>
                <w:color w:val="auto"/>
              </w:rPr>
            </w:pPr>
          </w:p>
        </w:tc>
        <w:tc>
          <w:tcPr>
            <w:tcW w:w="5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1020" w:type="dxa"/>
            <w:vAlign w:val="bottom"/>
            <w:tcBorders>
              <w:top w:val="single" w:sz="8" w:color="B6DEE8"/>
            </w:tcBorders>
            <w:shd w:val="clear" w:color="auto" w:fill="B6DEE8"/>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Overdraft Service fees, net</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Processing and overdraft service fees, net of processing and servicing costs associated with ExtraCash originations, totaled $129.2 million for the three months ended September 30, 2025, representing an increase of $70.5 million, or 120%, compared to $58.7 million for the three months ended September 30, 2024. The increase was primarily driven by an approximate 17% increase in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44" w:name="page45"/>
    <w:bookmarkEnd w:id="44"/>
    <w:p>
      <w:pPr>
        <w:ind w:right="240"/>
        <w:spacing w:after="0" w:line="258" w:lineRule="auto"/>
        <w:rPr>
          <w:sz w:val="20"/>
          <w:szCs w:val="20"/>
          <w:color w:val="auto"/>
        </w:rPr>
      </w:pPr>
      <w:r>
        <w:rPr>
          <w:rFonts w:ascii="Times New Roman" w:cs="Times New Roman" w:eastAsia="Times New Roman" w:hAnsi="Times New Roman"/>
          <w:sz w:val="18"/>
          <w:szCs w:val="18"/>
          <w:color w:val="auto"/>
        </w:rPr>
        <w:t>monthly transacting Members, an increase in total ExtraCash origination volume from approximately $1.4 billion to approximately $2.0 billion, a rise in the average ExtraCash amounts that increased from $172 to $207 period over period, and increases to our fee structure that took place during February 2025. In addition, both the average processing and overdraft service fees and percentage of Members who elected to expedite ExtraCash disbursements increased modestly during the current period. We expect processing and overdraft service fees to continue to increase in line with growth in ExtraCash volume and Member engagement.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1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Tips decreased $18.3 million for the three months ended September 30, 2025 compared to the three months ended September 30, 2024 due to the elimination of the Member tipping option in February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Subscription revenue totaled $10.0 million for the three months ended September 30, 2025, an increase of $3.6 million, or 57%, compared to $6.3 million for the three months ended September 30, 2024. The increase was primarily attributable to the growth in the number of paying Members on our platform, in addition to subscription fee increases that took place during June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Transaction based revenue, net, was $11.5 million for the three months ended September 30, 2025, an increase of $2.4 million, or 26%, compared to $9.1 million for the three months ended September 30, 2024. The increase was primarily driven by interchange revenue resulting from the growth in Members engaging with our Checking Product and increased card spend and transaction volume, which rose approximately 25% period over period. Additionally, transaction based revenue, net increased due to maintenance fees on inactive accounts and fees earned due to Member's higher withdrawal-related transaction volume.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700" w:type="dxa"/>
            <w:vAlign w:val="bottom"/>
            <w:gridSpan w:val="2"/>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16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(5,597)</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80" w:type="dxa"/>
            <w:vAlign w:val="bottom"/>
          </w:tcPr>
          <w:p>
            <w:pPr>
              <w:spacing w:after="0" w:line="20" w:lineRule="exact"/>
              <w:rPr>
                <w:sz w:val="1"/>
                <w:szCs w:val="1"/>
                <w:color w:val="auto"/>
              </w:rPr>
            </w:pPr>
          </w:p>
        </w:tc>
        <w:tc>
          <w:tcPr>
            <w:tcW w:w="4320" w:type="dxa"/>
            <w:vAlign w:val="bottom"/>
            <w:shd w:val="clear" w:color="auto" w:fill="B6DE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DEE8"/>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020" w:type="dxa"/>
            <w:vAlign w:val="bottom"/>
            <w:shd w:val="clear" w:color="auto" w:fill="B6DEE8"/>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104,827</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89,939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was $29.8 million for the three months ended September 30, 2025, compared to $13.7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30, 2024, resulting in an increase of $16.2 million, or 118%. This increase reflects expected growth in ExtraCash volume, continued expansion of the Member base, and credit performance trends aligned with the portfolio's maturation. Loss rates during the quarter increased moderately, consistent with expectations given portfolio maturation, growth dynamics, and our strategic emphasis on gross profit optimization.</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period-over-period increase in provision expense comprises two principal drivers consistent with anticipated portfolio dynamics. Provision expense for ExtraCash receivables aged over 120 days and those deemed uncollectible increased by $9.1 million, reflecting higher receivable volumes and loss timing in line with a growing Member base and the expected seasoning of the receivables portfolio. Provision expense related to ExtraCash receivables aged 120 days and under increased $7.1 million, driven primarily by higher outstanding balances and the anticipated loss patterns characteristic of the quarter. These increases correspond to a 17% rise in average transacting Members, an increase in average ExtraCash amounts from $172 to $207, and growth in total ExtraCash origination volume from approximately $1.4 billion to $2.0 billion for the three months ended September 30, 2024 and 2025, respectively.</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continues to refine ExtraCash eligibility requirements, enhance new Member conversion processes, and strengthen risk detection capabilities to align with expected credit performance trends across varying economic and seasonal conditions. Under the current expected credit loss (CECL) model, management estimates lifetime expected credit losses based on historical experience, current conditions, and reasonable and supportable forecasts. Our CECL methodology pools ExtraCash receivables based on shared risk characteristics, such as vintage and payment behavior, and applies historical loss rates adjusted for observed and forecasted trends, including quarter-specific seasonal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160"/>
        <w:spacing w:after="0" w:line="266" w:lineRule="auto"/>
        <w:rPr>
          <w:sz w:val="20"/>
          <w:szCs w:val="20"/>
          <w:color w:val="auto"/>
        </w:rPr>
      </w:pPr>
      <w:r>
        <w:rPr>
          <w:rFonts w:ascii="Times New Roman" w:cs="Times New Roman" w:eastAsia="Times New Roman" w:hAnsi="Times New Roman"/>
          <w:sz w:val="18"/>
          <w:szCs w:val="18"/>
          <w:color w:val="auto"/>
        </w:rPr>
        <w:t>The outstanding balance of ExtraCash receivables is subject to variability based on differences in Member activity over the trailing 120-day measurement period, including intra-quarter seasonal shifts. Additionally, the calendar day on which a quarter ends materially affects provision expense due to intra-week fluctuations in outstanding balances. This inherent timing effect contributes to variability in our quarterly provision for credit losses.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Historical loss rates used in provision assumptions increased moderately for the three months ended September 30, 2025, reflecting expected shifts in collection performance and higher realized loss rates during the period compared to the prior year quarter. Changes in these historical loss rates, as well as actual collection metrics, directly affect both the allowance for credit losses and the corresponding provision. All uncollectible ExtraCash receivables are written off against the allowance for credit losses, reducing the allowance accordingly.</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details on the aging composition of ExtraCash receivables and a complete roll-forward analysis of the allowance for credit losses, refer to the detailed tables presented in Note 6 — ExtraCash Receivables, Net in the accompanying condensed consolidated financial statements.</w:t>
      </w:r>
    </w:p>
    <w:p>
      <w:pPr>
        <w:spacing w:after="0" w:line="16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service costs</w:t>
      </w:r>
      <w:r>
        <w:rPr>
          <w:rFonts w:ascii="Times New Roman" w:cs="Times New Roman" w:eastAsia="Times New Roman" w:hAnsi="Times New Roman"/>
          <w:sz w:val="18"/>
          <w:szCs w:val="18"/>
          <w:color w:val="auto"/>
        </w:rPr>
        <w:t>—Processing and servicing costs totaled $9.4 million for the three months ended September 30, 2025, compared to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2024. The increase of $1.0 million, or 12%, was primarily driven by cost increases from ExtraCash origination volume from $1.4 billion to approximately $2.0 billion for the three months ended September 30, 2024 and 2025, respectively, offset by cost savings due to price reductions and rebates from our processors and card network partners.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Financial network and transaction costs</w:t>
      </w:r>
      <w:r>
        <w:rPr>
          <w:rFonts w:ascii="Times New Roman" w:cs="Times New Roman" w:eastAsia="Times New Roman" w:hAnsi="Times New Roman"/>
          <w:sz w:val="18"/>
          <w:szCs w:val="18"/>
          <w:color w:val="auto"/>
        </w:rPr>
        <w:t>—Financial network and transaction costs totaled $7.4 million for the three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$6.2 million for the three months ended September 30, 2024. The increase of $1.1 million, or 18%, was primarily driven by increases in debit card network fees and debit card processing costs due to a 25% increase in spend-related transaction volume period over period, partially offset by decreases in negative balance expenses due to continued fraud mitigation efforts.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Advertising and activation costs </w:t>
      </w:r>
      <w:r>
        <w:rPr>
          <w:rFonts w:ascii="Times New Roman" w:cs="Times New Roman" w:eastAsia="Times New Roman" w:hAnsi="Times New Roman"/>
          <w:sz w:val="18"/>
          <w:szCs w:val="18"/>
          <w:color w:val="auto"/>
        </w:rPr>
        <w:t>—Advertising and activation costs totaled $18.9 million for the three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$14.9 million for the three months ended September 30, 2024. The increase of $4.0 million, or 27%, was primarily driven by strategic marketing investments aimed at efficiently acquiring and engaging new Members, supported by increased seasonal activity during the quarter. Spending levels increased from the summer marketing period, reflecting sustained campaign momentum into early fall. We continued to emphasize performance-driven marketing execution, utilizing advanced measurement and attribution tools to optimize budget allocation. Enhanced channel optimization, creative testing, and real-time performance monitoring supported disciplined resource deployment focused on maintaining efficiency and maximizing return on marketing investment.</w:t>
      </w:r>
    </w:p>
    <w:p>
      <w:pPr>
        <w:spacing w:after="0" w:line="7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$24.8 million for the three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$30.4 million for the three months ended September 30, 2024. The decrease of $5.6 million, or 18%, was primarily attributable to the following:</w:t>
      </w:r>
    </w:p>
    <w:p>
      <w:pPr>
        <w:spacing w:after="0" w:line="52" w:lineRule="exact"/>
        <w:rPr>
          <w:sz w:val="20"/>
          <w:szCs w:val="20"/>
          <w:color w:val="auto"/>
        </w:rPr>
      </w:pPr>
    </w:p>
    <w:p>
      <w:pPr>
        <w:ind w:left="1020" w:right="240" w:hanging="503"/>
        <w:spacing w:after="0" w:line="289"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stock-based compensation of $6.2 million, primarily due to the vesting of certain performance based restricted stock units during the three months ended September 30, 2024, compared to the three months ended September 30, 2025, in addition to reductions in stock-based compensation expense related to restricted stock units and stock options granted in prior years that have fully vested; offset by</w:t>
      </w:r>
    </w:p>
    <w:p>
      <w:pPr>
        <w:spacing w:after="0" w:line="49"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temporary labor and contractor costs of $0.5 million, as we continued to leverage specialized skills and flexible workforce arrangements to support key operating initiatives and capacity needs during the three months ended September 30, 2025.</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Technology and infrastructure</w:t>
      </w:r>
      <w:r>
        <w:rPr>
          <w:rFonts w:ascii="Times New Roman" w:cs="Times New Roman" w:eastAsia="Times New Roman" w:hAnsi="Times New Roman"/>
          <w:sz w:val="18"/>
          <w:szCs w:val="18"/>
          <w:color w:val="auto"/>
        </w:rPr>
        <w:t>—Technology and infrastructure expenses totaled $3.2 million for the three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million for the three months ended September 30, 2024. The increase of $0.3 million, or 12%, was primarily driven by increased investment levels in supporting the reliability, security, and scalability of our systems. Management continues to focus on efficiency and operational resilience in technology-related spend, ensuring that resources are aligned with business growth, cybersecurity, and customer needs.</w:t>
      </w:r>
    </w:p>
    <w:p>
      <w:pPr>
        <w:spacing w:after="0" w:line="18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$11.3 million for the three months ended September 30, 2025, compared to $13.4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2024. The decrease of $2.1 million, or 16%, was primarily attributable to the following:</w:t>
      </w:r>
    </w:p>
    <w:p>
      <w:pPr>
        <w:spacing w:after="0" w:line="268" w:lineRule="exact"/>
        <w:rPr>
          <w:sz w:val="20"/>
          <w:szCs w:val="20"/>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legal expenses of $1.3 million primarily attributable to $2.5 million in lower settlement-related expenses, partially offset by an increase in general legal and litigation expenses of $1.2 million compared to the prior period.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ind w:left="1020" w:right="980"/>
        <w:spacing w:after="0" w:line="282" w:lineRule="auto"/>
        <w:rPr>
          <w:sz w:val="20"/>
          <w:szCs w:val="20"/>
          <w:color w:val="auto"/>
        </w:rPr>
      </w:pPr>
      <w:r>
        <w:rPr>
          <w:rFonts w:ascii="Times New Roman" w:cs="Times New Roman" w:eastAsia="Times New Roman" w:hAnsi="Times New Roman"/>
          <w:sz w:val="18"/>
          <w:szCs w:val="18"/>
          <w:color w:val="auto"/>
        </w:rPr>
        <w:t>current period includes approximately $10.9 million in litigation and settlement-related expenses, which were partially offset by approximately $5.0 million in related insurance receivables; and</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contributions of $1.3 million due to the elimination of the Member tipping option during February 2025; offset by</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professional service fees of $0.3 million related to expenditures for external consulting and compliance-related services resulting from our ongoing initiatives to support key operational and regulatory priorities, including enhancement of processes, internal controls, and adherence to applicable reporting standards.</w:t>
      </w:r>
    </w:p>
    <w:p>
      <w:pPr>
        <w:sectPr>
          <w:pgSz w:w="11900" w:h="16838" w:orient="portrait"/>
          <w:cols w:equalWidth="0" w:num="1">
            <w:col w:w="11220"/>
          </w:cols>
          <w:pgMar w:left="320" w:top="1093" w:right="3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200" w:lineRule="exact"/>
        <w:rPr>
          <w:sz w:val="20"/>
          <w:szCs w:val="20"/>
          <w:color w:val="auto"/>
        </w:rPr>
      </w:pPr>
    </w:p>
    <w:p>
      <w:pPr>
        <w:spacing w:after="0" w:line="2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p>
      <w:pPr>
        <w:spacing w:after="0" w:line="2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580"/>
        <w:spacing w:after="0" w:line="255" w:lineRule="auto"/>
        <w:rPr>
          <w:sz w:val="20"/>
          <w:szCs w:val="20"/>
          <w:color w:val="auto"/>
        </w:rPr>
      </w:pPr>
      <w:r>
        <w:rPr>
          <w:rFonts w:ascii="Times New Roman" w:cs="Times New Roman" w:eastAsia="Times New Roman" w:hAnsi="Times New Roman"/>
          <w:sz w:val="18"/>
          <w:szCs w:val="18"/>
          <w:color w:val="auto"/>
        </w:rPr>
        <w:t>Changes in fair value of earnout liabilities Changes in fair value of public and private warrant liabilities</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4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spacing w:after="0"/>
              <w:rPr>
                <w:sz w:val="16"/>
                <w:szCs w:val="16"/>
                <w:color w:val="auto"/>
              </w:rPr>
            </w:pPr>
          </w:p>
        </w:tc>
        <w:tc>
          <w:tcPr>
            <w:tcW w:w="4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(4,841)</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(4,824)</w:t>
            </w: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28376%</w:t>
            </w:r>
          </w:p>
        </w:tc>
      </w:tr>
      <w:tr>
        <w:trPr>
          <w:trHeight w:val="41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(9,186)</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(9,389)</w:t>
            </w:r>
          </w:p>
        </w:tc>
        <w:tc>
          <w:tcPr>
            <w:tcW w:w="2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-4625%</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(12,532)</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-847725</wp:posOffset>
            </wp:positionV>
            <wp:extent cx="641223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-573405</wp:posOffset>
            </wp:positionV>
            <wp:extent cx="641223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-161925</wp:posOffset>
            </wp:positionV>
            <wp:extent cx="6412230" cy="162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660"/>
            <w:col w:w="6320"/>
          </w:cols>
          <w:pgMar w:left="320" w:top="1093" w:right="359" w:bottom="1440" w:gutter="0" w:footer="0" w:header="0"/>
          <w:type w:val="continuous"/>
        </w:sectPr>
      </w:pPr>
    </w:p>
    <w:p>
      <w:pPr>
        <w:spacing w:after="0" w:line="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—Interest income totaled $0.3 million for the three months ended September 30, 2025, compared to $0.4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The decrease of $0.1 million, or 33%, was primarily driven by an overall decline in interest rates.</w:t>
      </w:r>
    </w:p>
    <w:p>
      <w:pPr>
        <w:spacing w:after="0" w:line="158"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—Interest expense totaled $1.8 million for the three months ended September 30, 2025, compared to $2.0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The decrease of $0.2 million, or 9%, was primarily driven by an overall decline in interest rates.</w:t>
      </w:r>
    </w:p>
    <w:p>
      <w:pPr>
        <w:spacing w:after="0" w:line="3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resulted in benefit of $4.8 million for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compared to a benefit of $0.02 million for the three months ended September 30, 2024. The increase of $4.8 million was primarily driven by a fair value adjustment related to the earnout shares liability, which is sensitive to fluctuations in our Class A common stock price. While our stock has generally appreciated over the last 12 months, a decrease in the price during the three months ended September 30, 2025 led to a remeasurement of the liability at a lower fair value, resulting in a benefit recognized during the period.</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the fair value of our warrant liability resulted in a benefit of $9.2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compared to an expense of $0.2 million for the three months ended September 30, 2024. The decrease of $9.4 million was primarily driven by fair value adjustments related to our public and private warrant liabilities, which are remeasured each period based on changes in the DAVEW warrant price and our Class A common stock price. The warrant liability decreased in value during the current quarter due to a significant decrease in the DAVEW warrant price and our Class A common stock price during the third quarter of 2025, which led to a remeasurement of the liability at a lower fair value, resulting in a significant benefit recognized during the period.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7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9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2025/2024</w:t>
            </w:r>
          </w:p>
        </w:tc>
      </w:tr>
      <w:tr>
        <w:trPr>
          <w:trHeight w:val="210"/>
        </w:trPr>
        <w:tc>
          <w:tcPr>
            <w:tcW w:w="580" w:type="dxa"/>
            <w:vAlign w:val="bottom"/>
          </w:tcPr>
          <w:p>
            <w:pPr>
              <w:spacing w:after="0"/>
              <w:rPr>
                <w:sz w:val="18"/>
                <w:szCs w:val="18"/>
                <w:color w:val="auto"/>
              </w:rPr>
            </w:pPr>
          </w:p>
        </w:tc>
        <w:tc>
          <w:tcPr>
            <w:tcW w:w="43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(33,642)</w:t>
            </w:r>
          </w:p>
        </w:tc>
        <w:tc>
          <w:tcPr>
            <w:tcW w:w="180" w:type="dxa"/>
            <w:vAlign w:val="bottom"/>
            <w:tcBorders>
              <w:bottom w:val="single" w:sz="8" w:color="B6DEE8"/>
            </w:tcBorders>
            <w:shd w:val="clear" w:color="auto" w:fill="B6DEE8"/>
          </w:tcPr>
          <w:p>
            <w:pPr>
              <w:spacing w:after="0"/>
              <w:rPr>
                <w:sz w:val="18"/>
                <w:szCs w:val="18"/>
                <w:color w:val="auto"/>
              </w:rPr>
            </w:pPr>
          </w:p>
        </w:tc>
        <w:tc>
          <w:tcPr>
            <w:tcW w:w="460" w:type="dxa"/>
            <w:vAlign w:val="bottom"/>
            <w:tcBorders>
              <w:bottom w:val="single" w:sz="8" w:color="auto"/>
            </w:tcBorders>
            <w:shd w:val="clear" w:color="auto" w:fill="B6DEE8"/>
          </w:tcPr>
          <w:p>
            <w:pPr>
              <w:spacing w:after="0"/>
              <w:rPr>
                <w:sz w:val="18"/>
                <w:szCs w:val="18"/>
                <w:color w:val="auto"/>
              </w:rPr>
            </w:pPr>
          </w:p>
        </w:tc>
        <w:tc>
          <w:tcPr>
            <w:tcW w:w="8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Borders>
              <w:bottom w:val="single" w:sz="8" w:color="B6DEE8"/>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(34,015)</w:t>
            </w:r>
          </w:p>
        </w:tc>
        <w:tc>
          <w:tcPr>
            <w:tcW w:w="18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B6DEE8"/>
            </w:tcBorders>
            <w:shd w:val="clear" w:color="auto" w:fill="B6DEE8"/>
          </w:tcPr>
          <w:p>
            <w:pPr>
              <w:spacing w:after="0"/>
              <w:rPr>
                <w:sz w:val="18"/>
                <w:szCs w:val="18"/>
                <w:color w:val="auto"/>
              </w:rPr>
            </w:pPr>
          </w:p>
        </w:tc>
        <w:tc>
          <w:tcPr>
            <w:tcW w:w="108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$(33,642)</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-170815</wp:posOffset>
            </wp:positionV>
            <wp:extent cx="111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1111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111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Provision (benefit) for income taxes for the three months ended September 30, 2025 decreased by approximately $34.0 million, or (9,119)%, compared to the three months ended September 30, 2024. The decrease was primarily due to the release of $27.4 million of our valuation allowance on deferred tax assets, as a discrete tax benefit during the three months ended September 30, 2025, and the increase in stock-based compensation deductions as a result of our Company’s appreciated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09"/>
        </w:trPr>
        <w:tc>
          <w:tcPr>
            <w:tcW w:w="37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56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02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2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r>
      <w:tr>
        <w:trPr>
          <w:trHeight w:val="216"/>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Processing and overdraft service fees, net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326,106</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152,850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76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56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(41,788)</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76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7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B6DEE8"/>
          </w:tcPr>
          <w:p>
            <w:pPr>
              <w:spacing w:after="0"/>
              <w:rPr>
                <w:sz w:val="19"/>
                <w:szCs w:val="19"/>
                <w:color w:val="auto"/>
              </w:rPr>
            </w:pPr>
          </w:p>
        </w:tc>
        <w:tc>
          <w:tcPr>
            <w:tcW w:w="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390,461</w:t>
            </w:r>
          </w:p>
        </w:tc>
        <w:tc>
          <w:tcPr>
            <w:tcW w:w="280" w:type="dxa"/>
            <w:vAlign w:val="bottom"/>
            <w:shd w:val="clear" w:color="auto" w:fill="B6DEE8"/>
          </w:tcPr>
          <w:p>
            <w:pPr>
              <w:spacing w:after="0"/>
              <w:rPr>
                <w:sz w:val="19"/>
                <w:szCs w:val="19"/>
                <w:color w:val="auto"/>
              </w:rPr>
            </w:pPr>
          </w:p>
        </w:tc>
        <w:tc>
          <w:tcPr>
            <w:tcW w:w="420" w:type="dxa"/>
            <w:vAlign w:val="bottom"/>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246,236</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144,225</w:t>
            </w:r>
          </w:p>
        </w:tc>
        <w:tc>
          <w:tcPr>
            <w:tcW w:w="200" w:type="dxa"/>
            <w:vAlign w:val="bottom"/>
            <w:shd w:val="clear" w:color="auto" w:fill="B6DEE8"/>
          </w:tcPr>
          <w:p>
            <w:pPr>
              <w:spacing w:after="0"/>
              <w:rPr>
                <w:sz w:val="19"/>
                <w:szCs w:val="19"/>
                <w:color w:val="auto"/>
              </w:rPr>
            </w:pPr>
          </w:p>
        </w:tc>
        <w:tc>
          <w:tcPr>
            <w:tcW w:w="220" w:type="dxa"/>
            <w:vAlign w:val="bottom"/>
            <w:shd w:val="clear" w:color="auto" w:fill="B6DEE8"/>
          </w:tcPr>
          <w:p>
            <w:pPr>
              <w:spacing w:after="0"/>
              <w:rPr>
                <w:sz w:val="19"/>
                <w:szCs w:val="19"/>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3760" w:type="dxa"/>
            <w:vAlign w:val="bottom"/>
            <w:tcBorders>
              <w:top w:val="single" w:sz="8" w:color="B6DEE8"/>
            </w:tcBorders>
            <w:shd w:val="clear" w:color="auto" w:fill="B6DEE8"/>
          </w:tcPr>
          <w:p>
            <w:pPr>
              <w:spacing w:after="0" w:line="20" w:lineRule="exact"/>
              <w:rPr>
                <w:sz w:val="1"/>
                <w:szCs w:val="1"/>
                <w:color w:val="auto"/>
              </w:rPr>
            </w:pPr>
          </w:p>
        </w:tc>
        <w:tc>
          <w:tcPr>
            <w:tcW w:w="560" w:type="dxa"/>
            <w:vAlign w:val="bottom"/>
            <w:tcBorders>
              <w:top w:val="single" w:sz="8" w:color="B6DEE8"/>
            </w:tcBorders>
            <w:shd w:val="clear" w:color="auto" w:fill="B6DE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B6DEE8"/>
            </w:tcBorders>
            <w:shd w:val="clear" w:color="auto" w:fill="B6DE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1020" w:type="dxa"/>
            <w:vAlign w:val="bottom"/>
            <w:tcBorders>
              <w:top w:val="single" w:sz="8" w:color="B6DEE8"/>
            </w:tcBorders>
            <w:shd w:val="clear" w:color="auto" w:fill="B6DEE8"/>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-24765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Overdraft Service fees, net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Processing and overdraft service fees, net, which consists of processing and servicing costs associated with ExtraCash originations, totaled $326.1 million for the nine months ended September 30, 2025, representing an increase of $173.3 million, or 113%, compared to $152.9 million for the nine months ended September 30, 2024. The increase was primarily driven by an approximately 16% increase in average monthly transacting Members, an increase in total ExtraCash origination volume from approximately $3.6 billion to approximately $5.3 billion, a rise in the average ExtraCash amounts that increased from $166 to $202 period over period and increases to our fee structure that took place during February 2025. In addition, both the average processing and overdraft service fees and percentage of Members who elected to expedite ExtraCash disbursements increased modestly during the current period. We expect processing and overdraft service fees to continue to increase in line with growth in ExtraCash volume and Member engagement.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Tips totaled $7.5 million for the nine months ended September 30, 2025, representing a decrease of $41.8 million, or 85%, compared to $49.3 million for the nine months ended September 30, 2024. The decline was primarily due to the elimination of the Member tipping option in February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Subscription revenue totaled $24.8 million for the nine months ended September 30, 2025, an increase of $6.7 million, or 37%, compared to $18.1 million for the nine months ended September 30, 2024. The increase was primarily attributable to the growth in the number of paying Members on our platform, in addition to subscription fee increases that took place during June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Transaction based revenue, net, was $31.8 million for the nine months ended September 30, 2025 an increase of $6.2 million, or 24%, compared to $25.6 million for the nine months ended September 30, 2024. The increase was primarily driven by higher interchange revenue, resulting from the growth in Members engaging with our Checking Product, as well as increased card spend and transaction volume, which rose approximately 25% period over period. Additionally, transaction based revenue, net increased due to maintenance fees on inactive accounts and fees earned from higher Members' funding and withdrawal-related transactions. These increases were partially offset by a $0.2 million increase in interest due to Members.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8" w:name="page49"/>
    <w:bookmarkEnd w:id="48"/>
    <w:tbl>
      <w:tblPr>
        <w:tblLayout w:type="fixed"/>
        <w:tblInd w:w="58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09"/>
        </w:trPr>
        <w:tc>
          <w:tcPr>
            <w:tcW w:w="4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10"/>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65,744</w:t>
            </w:r>
          </w:p>
        </w:tc>
        <w:tc>
          <w:tcPr>
            <w:tcW w:w="700" w:type="dxa"/>
            <w:vAlign w:val="bottom"/>
            <w:gridSpan w:val="2"/>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1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78,523</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79,019</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23,751</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(2,325)</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320" w:type="dxa"/>
            <w:vAlign w:val="bottom"/>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DEE8"/>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020" w:type="dxa"/>
            <w:vAlign w:val="bottom"/>
            <w:shd w:val="clear" w:color="auto" w:fill="B6DEE8"/>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268,332</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232,618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was $65.7 million for the nine months ended September 30, 2025, compared to $38.0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2024, resulting in an increase of $27.8 million, or 73%. This increase reflects the anticipated impact of year-over-year growth in ExtraCash volume, continued expansion of our Member base, and credit performance trends consistent with the portfolio’s expected maturation. Loss rates during the quarter increased moderately, consistent with expectations given portfolio maturation, growth dynamics, and our strategic emphasis on gross profit optimization.</w:t>
      </w:r>
    </w:p>
    <w:p>
      <w:pPr>
        <w:spacing w:after="0" w:line="11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period-over-period increase in provision expense comprises two principal drivers aligned with management’s expectations and historical seasonality. Provision expense for ExtraCash receivables aged over 120 days and those deemed uncollectible increased by $11.0 million, attributable to higher receivable volumes and loss timing consistent with a growing Member base and maturing loan portfolio. Provision expense related to ExtraCash receivables aged 120 days and under increased $16.7 million, reflecting increased outstanding balances and periodic elevation in loss rates that occur seasonally. In aggregate, these factors reflect the anticipated impact of portfolio expansion, the weighted average ExtraCash balance increasing from $166 to $202, and the rise in total ExtraCash origination volume from $3.6 billion to $5.3 billion for the nine months ended September 30, 2024 and 2025, respectively.</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Management regularly updates ExtraCash eligibility requirements, new Member conversion processes, and risk detection capabilities to align with expected loss emergence patterns and to respond to economic conditions and seasonal shifts in Member activity. Under the current expected credit loss (CECL) model, management estimates lifetime expected credit losses based on historical experience, current conditions, and reasonable and supportable forecasts. Our CECL methodology pools ExtraCash receivables based on shared risk characteristics, such as vintage and payment behavior, and applies historical loss rates adjusted for observed and forecasted economic trends, including anticipated seasonal effects.</w:t>
      </w:r>
    </w:p>
    <w:p>
      <w:pPr>
        <w:spacing w:after="0" w:line="11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outstanding balance of ExtraCash receivables is subject to variability based on seasonal differences in Member activity across the trailing 120-day measurement period. Additionally, the calendar day on which a quarter ends can materially affect provision expense due to intra-week fluctuations in outstanding balances. This inherent timing effect, together with the seasonal pattern of origination and loss emergence, contributes to variability in our quarterly provision for credit losses.</w:t>
      </w:r>
    </w:p>
    <w:p>
      <w:pPr>
        <w:spacing w:after="0" w:line="11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Historical loss rates used in provision assumptions increased marginally for the nine months ended September 30, 2025, reflecting expected shifts in collection performance and higher realized loss rates compared to the prior period. Changes in these historical loss rates directly affect both the allowance for credit losses and the corresponding provision. All uncollectible ExtraCash receivables are written off against the allowance for credit losses, reducing the allowance accordingly.</w:t>
      </w:r>
    </w:p>
    <w:p>
      <w:pPr>
        <w:spacing w:after="0" w:line="99" w:lineRule="exact"/>
        <w:rPr>
          <w:sz w:val="20"/>
          <w:szCs w:val="20"/>
          <w:color w:val="auto"/>
        </w:rPr>
      </w:pPr>
    </w:p>
    <w:p>
      <w:pPr>
        <w:ind w:right="320"/>
        <w:spacing w:after="0" w:line="346" w:lineRule="auto"/>
        <w:rPr>
          <w:sz w:val="20"/>
          <w:szCs w:val="20"/>
          <w:color w:val="auto"/>
        </w:rPr>
      </w:pPr>
      <w:r>
        <w:rPr>
          <w:rFonts w:ascii="Times New Roman" w:cs="Times New Roman" w:eastAsia="Times New Roman" w:hAnsi="Times New Roman"/>
          <w:sz w:val="17"/>
          <w:szCs w:val="17"/>
          <w:color w:val="auto"/>
        </w:rPr>
        <w:t>For additional details regarding the aging composition of ExtraCash receivables and a complete roll-forward analysis of the allowance for credit losses, refer to the detailed tables presented in Note 6 — ExtraCash Receivables, Net in the accompanying condensed consolidated financial statements.</w:t>
      </w:r>
    </w:p>
    <w:p>
      <w:pPr>
        <w:spacing w:after="0" w:line="1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service costs</w:t>
      </w:r>
      <w:r>
        <w:rPr>
          <w:rFonts w:ascii="Times New Roman" w:cs="Times New Roman" w:eastAsia="Times New Roman" w:hAnsi="Times New Roman"/>
          <w:sz w:val="18"/>
          <w:szCs w:val="18"/>
          <w:color w:val="auto"/>
        </w:rPr>
        <w:t>—Processing and service costs totaled $23.6 million for the nine months ended September 30, 2025 compared to $23.4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2024. The increase of $0.2 million, or 1%, was primarily driven by increases in ExtraCash origination volume from $3.6 billion to approximately $5.3 billion, partially offset by cost savings due to price reductions from our processors and rebates from our card network partners.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Financial network and transaction costs</w:t>
      </w:r>
      <w:r>
        <w:rPr>
          <w:rFonts w:ascii="Times New Roman" w:cs="Times New Roman" w:eastAsia="Times New Roman" w:hAnsi="Times New Roman"/>
          <w:sz w:val="18"/>
          <w:szCs w:val="18"/>
          <w:color w:val="auto"/>
        </w:rPr>
        <w:t>—Financial network and transaction costs totaled $21.6 million for the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$19.1 million for the nine months ended September 30, 2024. The increase of $2.6 million, or 13%, was primarily driven by increases in debit card network fees and debit card processing costs due to a 25% increase in transaction volume period over period, partially offset by decreases in negative balance expenses due to continued fraud mitigation efforts.</w:t>
      </w:r>
    </w:p>
    <w:p>
      <w:pPr>
        <w:spacing w:after="0" w:line="18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and activation costs </w:t>
      </w:r>
      <w:r>
        <w:rPr>
          <w:rFonts w:ascii="Times New Roman" w:cs="Times New Roman" w:eastAsia="Times New Roman" w:hAnsi="Times New Roman"/>
          <w:sz w:val="18"/>
          <w:szCs w:val="18"/>
          <w:color w:val="auto"/>
        </w:rPr>
        <w:t>—Advertising and activation expenses totaled $46.3 million for the nine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$38.7 million for the nine months ended September 30, 2024. The increase of $7.6 million, or 19%, was primarily driven by continued investment in marketing initiatives designed to efficiently acquire and engage new Members, combined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9" w:name="page50"/>
    <w:bookmarkEnd w:id="49"/>
    <w:p>
      <w:pPr>
        <w:ind w:right="40"/>
        <w:spacing w:after="0" w:line="258" w:lineRule="auto"/>
        <w:rPr>
          <w:sz w:val="20"/>
          <w:szCs w:val="20"/>
          <w:color w:val="auto"/>
        </w:rPr>
      </w:pPr>
      <w:r>
        <w:rPr>
          <w:rFonts w:ascii="Times New Roman" w:cs="Times New Roman" w:eastAsia="Times New Roman" w:hAnsi="Times New Roman"/>
          <w:sz w:val="18"/>
          <w:szCs w:val="18"/>
          <w:color w:val="auto"/>
        </w:rPr>
        <w:t>planned spending adjustments reflecting seasonal demand patterns across the year. In particular, advertising outlays continued to increase into the early fall compared to the summer periods to capture heightened customer activity for ExtraCash and other growth products, supported by tailored campaign timing and channel optimization strategies. Marketing deployment remained data-driven and responsive to seasonal shifts in consumer engagement, with resource allocation guided by real-time performance insights and evolving demand trends. We continue to focus on balancing marketing intensity in high-demand periods with disciplined cost management during lower-activity intervals in an effort to maximize efficiency and return on investment.</w:t>
      </w:r>
    </w:p>
    <w:p>
      <w:pPr>
        <w:spacing w:after="0" w:line="11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$78.5 million for the nine months ended September 30, 2025, compared to $79.0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2024. The decrease of $0.5 million, or 1%, was primarily attributable to the following:</w:t>
      </w:r>
    </w:p>
    <w:p>
      <w:pPr>
        <w:spacing w:after="0" w:line="52" w:lineRule="exact"/>
        <w:rPr>
          <w:sz w:val="20"/>
          <w:szCs w:val="20"/>
          <w:color w:val="auto"/>
        </w:rPr>
      </w:pPr>
    </w:p>
    <w:p>
      <w:pPr>
        <w:ind w:left="1020" w:right="240" w:hanging="503"/>
        <w:spacing w:after="0" w:line="289"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stock-based compensation of $4.2 million, primarily due to the vesting of certain performance-based restricted stock units during the nine months ended September 30, 2024, compared to the nine months ended September 30, 2025, in addition to reductions in stock-based compensation expense related to restricted stock units and stock options granted in prior years that have fully vested; offset by</w:t>
      </w:r>
    </w:p>
    <w:p>
      <w:pPr>
        <w:spacing w:after="0" w:line="49" w:lineRule="exact"/>
        <w:rPr>
          <w:rFonts w:ascii="Times New Roman" w:cs="Times New Roman" w:eastAsia="Times New Roman" w:hAnsi="Times New Roman"/>
          <w:sz w:val="17"/>
          <w:szCs w:val="17"/>
          <w:color w:val="auto"/>
        </w:rPr>
      </w:pPr>
    </w:p>
    <w:p>
      <w:pPr>
        <w:ind w:left="1020" w:right="6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related costs of $2.9 million, primarily due to increased compensation, employer related taxes and performance bonuses during the nine months ended September 30, 2025; and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temporary labor and contractor costs of $0.8 million, as we continued to leverage specialized skills and flexible workforce arrangements to support key operating initiatives and capacity needs.</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Technology and infrastructure</w:t>
      </w:r>
      <w:r>
        <w:rPr>
          <w:rFonts w:ascii="Times New Roman" w:cs="Times New Roman" w:eastAsia="Times New Roman" w:hAnsi="Times New Roman"/>
          <w:sz w:val="18"/>
          <w:szCs w:val="18"/>
          <w:color w:val="auto"/>
        </w:rPr>
        <w:t>—Technology and infrastructure expenses totaled $8.8 million for the nine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$8.4 million for the nine months ended September 30, 2024. The increase of $0.4 million, or 6%, was primarily driven by increased investment levels in supporting the reliability, security, and scalability of our systems. Management continues to focus on efficiency and operational resilience in technology-related spend, ensuring that resources are aligned with business growth, cybersecurity, and customer needs.</w:t>
      </w:r>
    </w:p>
    <w:p>
      <w:pPr>
        <w:spacing w:after="0" w:line="18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$23.8 million for the nine months ended September 30, 2025, compared to $26.1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2024. The decrease of $2.3 million, or 9%, was primarily attributable to the following:</w:t>
      </w:r>
    </w:p>
    <w:p>
      <w:pPr>
        <w:spacing w:after="0" w:line="5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contributions of $2.7 million due to the elimination of the Member tipping option during February 2025; and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amortization expenses of $0.3 million related to increases in capitalized costs relating to internally developed software; offset by</w:t>
      </w:r>
    </w:p>
    <w:p>
      <w:pPr>
        <w:spacing w:after="0" w:line="53"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professional service fees of $0.7 million related to expenditures for external consulting and compliance-related services resulting from our ongoing initiatives to support key operational and regulatory priorities, including enhancement of processes, internal controls, and adherence to applicable reporting standards; and</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legal expenses of $0.1 million primarily attributable to a $2.3 million increase in general legal and litigation expenses, partially offset by $2.2 million in lower settlement-related expenses compared to the prior period. The current period includes approximately $12.8 million in litigation and settlement-related expenses, which were partially offset by approximately $5.0 million in related insurance receivables.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(1,313)</w:t>
            </w:r>
          </w:p>
        </w:tc>
        <w:tc>
          <w:tcPr>
            <w:tcW w:w="420" w:type="dxa"/>
            <w:vAlign w:val="bottom"/>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32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9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(33,442)</w:t>
            </w: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000" w:type="dxa"/>
            <w:vAlign w:val="bottom"/>
            <w:shd w:val="clear" w:color="auto" w:fill="B6DEE8"/>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32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02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280" w:type="dxa"/>
            <w:vAlign w:val="bottom"/>
            <w:shd w:val="clear" w:color="auto" w:fill="B6DEE8"/>
          </w:tcPr>
          <w:p>
            <w:pPr>
              <w:spacing w:after="0"/>
              <w:rPr>
                <w:sz w:val="17"/>
                <w:szCs w:val="17"/>
                <w:color w:val="auto"/>
              </w:rPr>
            </w:pPr>
          </w:p>
        </w:tc>
        <w:tc>
          <w:tcPr>
            <w:tcW w:w="420" w:type="dxa"/>
            <w:vAlign w:val="bottom"/>
            <w:shd w:val="clear" w:color="auto" w:fill="B6DEE8"/>
          </w:tcPr>
          <w:p>
            <w:pPr>
              <w:spacing w:after="0"/>
              <w:rPr>
                <w:sz w:val="17"/>
                <w:szCs w:val="17"/>
                <w:color w:val="auto"/>
              </w:rPr>
            </w:pPr>
          </w:p>
        </w:tc>
        <w:tc>
          <w:tcPr>
            <w:tcW w:w="78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06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20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102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00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B6DEE8"/>
            </w:tcBorders>
            <w:shd w:val="clear" w:color="auto" w:fill="B6DEE8"/>
          </w:tcPr>
          <w:p>
            <w:pPr>
              <w:spacing w:after="0"/>
              <w:rPr>
                <w:sz w:val="19"/>
                <w:szCs w:val="19"/>
                <w:color w:val="auto"/>
              </w:rPr>
            </w:pPr>
          </w:p>
        </w:tc>
        <w:tc>
          <w:tcPr>
            <w:tcW w:w="180" w:type="dxa"/>
            <w:vAlign w:val="bottom"/>
            <w:tcBorders>
              <w:bottom w:val="single" w:sz="8" w:color="auto"/>
            </w:tcBorders>
            <w:shd w:val="clear" w:color="auto" w:fill="B6DEE8"/>
          </w:tcPr>
          <w:p>
            <w:pPr>
              <w:spacing w:after="0"/>
              <w:rPr>
                <w:sz w:val="19"/>
                <w:szCs w:val="19"/>
                <w:color w:val="auto"/>
              </w:rPr>
            </w:pPr>
          </w:p>
        </w:tc>
        <w:tc>
          <w:tcPr>
            <w:tcW w:w="1020" w:type="dxa"/>
            <w:vAlign w:val="bottom"/>
            <w:tcBorders>
              <w:bottom w:val="single" w:sz="8" w:color="auto"/>
            </w:tcBorders>
            <w:vMerge w:val="continue"/>
            <w:shd w:val="clear" w:color="auto" w:fill="B6DEE8"/>
          </w:tcPr>
          <w:p>
            <w:pPr>
              <w:spacing w:after="0"/>
              <w:rPr>
                <w:sz w:val="19"/>
                <w:szCs w:val="19"/>
                <w:color w:val="auto"/>
              </w:rPr>
            </w:pPr>
          </w:p>
        </w:tc>
        <w:tc>
          <w:tcPr>
            <w:tcW w:w="280" w:type="dxa"/>
            <w:vAlign w:val="bottom"/>
            <w:tcBorders>
              <w:bottom w:val="single" w:sz="8" w:color="B6DEE8"/>
            </w:tcBorders>
            <w:shd w:val="clear" w:color="auto" w:fill="B6DEE8"/>
          </w:tcPr>
          <w:p>
            <w:pPr>
              <w:spacing w:after="0"/>
              <w:rPr>
                <w:sz w:val="19"/>
                <w:szCs w:val="19"/>
                <w:color w:val="auto"/>
              </w:rPr>
            </w:pPr>
          </w:p>
        </w:tc>
        <w:tc>
          <w:tcPr>
            <w:tcW w:w="420" w:type="dxa"/>
            <w:vAlign w:val="bottom"/>
            <w:tcBorders>
              <w:bottom w:val="single" w:sz="8" w:color="auto"/>
            </w:tcBorders>
            <w:shd w:val="clear" w:color="auto" w:fill="B6DEE8"/>
          </w:tcPr>
          <w:p>
            <w:pPr>
              <w:spacing w:after="0"/>
              <w:rPr>
                <w:sz w:val="19"/>
                <w:szCs w:val="19"/>
                <w:color w:val="auto"/>
              </w:rPr>
            </w:pPr>
          </w:p>
        </w:tc>
        <w:tc>
          <w:tcPr>
            <w:tcW w:w="780" w:type="dxa"/>
            <w:vAlign w:val="bottom"/>
            <w:tcBorders>
              <w:bottom w:val="single" w:sz="8" w:color="auto"/>
            </w:tcBorders>
            <w:vMerge w:val="continue"/>
            <w:shd w:val="clear" w:color="auto" w:fill="B6DEE8"/>
          </w:tcPr>
          <w:p>
            <w:pPr>
              <w:spacing w:after="0"/>
              <w:rPr>
                <w:sz w:val="19"/>
                <w:szCs w:val="19"/>
                <w:color w:val="auto"/>
              </w:rPr>
            </w:pPr>
          </w:p>
        </w:tc>
        <w:tc>
          <w:tcPr>
            <w:tcW w:w="160" w:type="dxa"/>
            <w:vAlign w:val="bottom"/>
            <w:tcBorders>
              <w:bottom w:val="single" w:sz="8" w:color="B6DEE8"/>
            </w:tcBorders>
            <w:shd w:val="clear" w:color="auto" w:fill="B6DEE8"/>
          </w:tcPr>
          <w:p>
            <w:pPr>
              <w:spacing w:after="0"/>
              <w:rPr>
                <w:sz w:val="19"/>
                <w:szCs w:val="19"/>
                <w:color w:val="auto"/>
              </w:rPr>
            </w:pPr>
          </w:p>
        </w:tc>
        <w:tc>
          <w:tcPr>
            <w:tcW w:w="120" w:type="dxa"/>
            <w:vAlign w:val="bottom"/>
            <w:tcBorders>
              <w:bottom w:val="single" w:sz="8" w:color="B6DEE8"/>
            </w:tcBorders>
            <w:shd w:val="clear" w:color="auto" w:fill="B6DEE8"/>
          </w:tcPr>
          <w:p>
            <w:pPr>
              <w:spacing w:after="0"/>
              <w:rPr>
                <w:sz w:val="19"/>
                <w:szCs w:val="19"/>
                <w:color w:val="auto"/>
              </w:rPr>
            </w:pPr>
          </w:p>
        </w:tc>
        <w:tc>
          <w:tcPr>
            <w:tcW w:w="140" w:type="dxa"/>
            <w:vAlign w:val="bottom"/>
            <w:tcBorders>
              <w:bottom w:val="single" w:sz="8" w:color="auto"/>
            </w:tcBorders>
            <w:shd w:val="clear" w:color="auto" w:fill="B6DEE8"/>
          </w:tcPr>
          <w:p>
            <w:pPr>
              <w:spacing w:after="0"/>
              <w:rPr>
                <w:sz w:val="19"/>
                <w:szCs w:val="19"/>
                <w:color w:val="auto"/>
              </w:rPr>
            </w:pPr>
          </w:p>
        </w:tc>
        <w:tc>
          <w:tcPr>
            <w:tcW w:w="1060" w:type="dxa"/>
            <w:vAlign w:val="bottom"/>
            <w:tcBorders>
              <w:bottom w:val="single" w:sz="8" w:color="auto"/>
            </w:tcBorders>
            <w:vMerge w:val="continue"/>
            <w:shd w:val="clear" w:color="auto" w:fill="B6DEE8"/>
          </w:tcPr>
          <w:p>
            <w:pPr>
              <w:spacing w:after="0"/>
              <w:rPr>
                <w:sz w:val="19"/>
                <w:szCs w:val="19"/>
                <w:color w:val="auto"/>
              </w:rPr>
            </w:pPr>
          </w:p>
        </w:tc>
        <w:tc>
          <w:tcPr>
            <w:tcW w:w="200" w:type="dxa"/>
            <w:vAlign w:val="bottom"/>
            <w:tcBorders>
              <w:bottom w:val="single" w:sz="8" w:color="B6DEE8"/>
            </w:tcBorders>
            <w:shd w:val="clear" w:color="auto" w:fill="B6DEE8"/>
          </w:tcPr>
          <w:p>
            <w:pPr>
              <w:spacing w:after="0"/>
              <w:rPr>
                <w:sz w:val="19"/>
                <w:szCs w:val="19"/>
                <w:color w:val="auto"/>
              </w:rPr>
            </w:pPr>
          </w:p>
        </w:tc>
        <w:tc>
          <w:tcPr>
            <w:tcW w:w="220" w:type="dxa"/>
            <w:vAlign w:val="bottom"/>
            <w:tcBorders>
              <w:bottom w:val="single" w:sz="8" w:color="B6DEE8"/>
            </w:tcBorders>
            <w:shd w:val="clear" w:color="auto" w:fill="B6DEE8"/>
          </w:tcPr>
          <w:p>
            <w:pPr>
              <w:spacing w:after="0"/>
              <w:rPr>
                <w:sz w:val="19"/>
                <w:szCs w:val="19"/>
                <w:color w:val="auto"/>
              </w:rPr>
            </w:pPr>
          </w:p>
        </w:tc>
        <w:tc>
          <w:tcPr>
            <w:tcW w:w="120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2757%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18,323</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(29,243)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1"/>
        </w:trPr>
        <w:tc>
          <w:tcPr>
            <w:tcW w:w="5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-1079500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-1079500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—Interest income totaled $1.3 million for the nine months ended September 30, 2025, compared to $2.5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The decrease of $1.2 million, or 47%, was primarily attributable to an average lower total balance of investments held and an overall decline in interest rates during the nine months ended September 30, 2025 as compared to the nine months ended September 30, 2024.</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—Interest expense totaled $5.3 million for the nine months ended September 30, 2025, compared to $6.1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The decrease of $0.8 million, or 13%, was primarily attributable to an overall decline in interest rates and a reduction of interest expense related to the repurchase of the convertible note with FTX Ventures Ltd. in January 2024.</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Gain on extinguishment of convertible debt—</w:t>
      </w:r>
      <w:r>
        <w:rPr>
          <w:rFonts w:ascii="Times New Roman" w:cs="Times New Roman" w:eastAsia="Times New Roman" w:hAnsi="Times New Roman"/>
          <w:sz w:val="18"/>
          <w:szCs w:val="18"/>
          <w:color w:val="auto"/>
        </w:rPr>
        <w:t>The gain on extinguishment of convertible debt totaled $0 for the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$33.4 million for the nine months ended September 30, 2024. The decrease was attributable to the repurchase of the $105.7 million outstanding balance of the convertible note with FTX Ventures Ltd. for $71.0 million in January 2024. The gain was reduced by unamortized debt issuance costs of $0.03 million at the extinguishment date and third-party costs totaling $1.3 million in conjunction with the settlement of the convertible note.</w:t>
      </w:r>
    </w:p>
    <w:p>
      <w:pPr>
        <w:spacing w:after="0" w:line="18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resulted in an expense of $2.7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compared to an expense of $0.1 million for the nine months ended September 30, 2024. The increase of $2.5 million, or 2,189%, was primarily driven by a fair value adjustment related to the earnout shares liability, which is sensitive to fluctuations in our Class A common stock price. While our stock price has generally appreciated over the last 24 months, the increase in our Class A common stock price during the first nine months of 2025 as compared to the increase during the first nine months of 2024 led to a larger remeasurement of the liability at a higher fair value, resulting in the higher expense recognized period over period.</w:t>
      </w:r>
    </w:p>
    <w:p>
      <w:pPr>
        <w:spacing w:after="0" w:line="18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Changes in fair value of warrant liability</w:t>
      </w:r>
      <w:r>
        <w:rPr>
          <w:rFonts w:ascii="Times New Roman" w:cs="Times New Roman" w:eastAsia="Times New Roman" w:hAnsi="Times New Roman"/>
          <w:sz w:val="17"/>
          <w:szCs w:val="17"/>
          <w:color w:val="auto"/>
        </w:rPr>
        <w:t>—Changes in the fair value of our warrant liability resulted in an expense of $11.7 million for the nine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2025, compared to an expense of $0.4 million for the nine months ended September 30, 2024. The increase of $11.2 million, or 2,757%, was primarily driven by fair value adjustments related to our public and private warrant liabilities, which are remeasured each period based on changes in the DAVEW warrant price and our Class A common stock price. The warrant liability increased in value during the first nine months of 2025 due to a significant increase in the DAVEW warrant price and our Class A common stock price during the first nine months of 2025 as compared to the first nine months of 2024, which led to a remeasurement of the liability at a higher fair value, resulting in the higher expense recognized period over period.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7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9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2025/2024</w:t>
            </w:r>
          </w:p>
        </w:tc>
      </w:tr>
      <w:tr>
        <w:trPr>
          <w:trHeight w:val="210"/>
        </w:trPr>
        <w:tc>
          <w:tcPr>
            <w:tcW w:w="580" w:type="dxa"/>
            <w:vAlign w:val="bottom"/>
          </w:tcPr>
          <w:p>
            <w:pPr>
              <w:spacing w:after="0"/>
              <w:rPr>
                <w:sz w:val="18"/>
                <w:szCs w:val="18"/>
                <w:color w:val="auto"/>
              </w:rPr>
            </w:pPr>
          </w:p>
        </w:tc>
        <w:tc>
          <w:tcPr>
            <w:tcW w:w="43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(26,118)</w:t>
            </w:r>
          </w:p>
        </w:tc>
        <w:tc>
          <w:tcPr>
            <w:tcW w:w="180" w:type="dxa"/>
            <w:vAlign w:val="bottom"/>
            <w:tcBorders>
              <w:bottom w:val="single" w:sz="8" w:color="B6DEE8"/>
            </w:tcBorders>
            <w:shd w:val="clear" w:color="auto" w:fill="B6DEE8"/>
          </w:tcPr>
          <w:p>
            <w:pPr>
              <w:spacing w:after="0"/>
              <w:rPr>
                <w:sz w:val="18"/>
                <w:szCs w:val="18"/>
                <w:color w:val="auto"/>
              </w:rPr>
            </w:pPr>
          </w:p>
        </w:tc>
        <w:tc>
          <w:tcPr>
            <w:tcW w:w="460" w:type="dxa"/>
            <w:vAlign w:val="bottom"/>
            <w:tcBorders>
              <w:bottom w:val="single" w:sz="8" w:color="auto"/>
            </w:tcBorders>
            <w:shd w:val="clear" w:color="auto" w:fill="B6DEE8"/>
          </w:tcPr>
          <w:p>
            <w:pPr>
              <w:spacing w:after="0"/>
              <w:rPr>
                <w:sz w:val="18"/>
                <w:szCs w:val="18"/>
                <w:color w:val="auto"/>
              </w:rPr>
            </w:pPr>
          </w:p>
        </w:tc>
        <w:tc>
          <w:tcPr>
            <w:tcW w:w="8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80" w:type="dxa"/>
            <w:vAlign w:val="bottom"/>
            <w:tcBorders>
              <w:bottom w:val="single" w:sz="8" w:color="B6DEE8"/>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18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B6DEE8"/>
            </w:tcBorders>
            <w:shd w:val="clear" w:color="auto" w:fill="B6DEE8"/>
          </w:tcPr>
          <w:p>
            <w:pPr>
              <w:spacing w:after="0"/>
              <w:rPr>
                <w:sz w:val="18"/>
                <w:szCs w:val="18"/>
                <w:color w:val="auto"/>
              </w:rPr>
            </w:pPr>
          </w:p>
        </w:tc>
        <w:tc>
          <w:tcPr>
            <w:tcW w:w="108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$(26,118)</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$1,794</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-170815</wp:posOffset>
            </wp:positionV>
            <wp:extent cx="1111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Provision (benefit) for income taxes for the nine months ended September 30, 2025, decreased by approximately $27.9 million, or (1,556)%, compared to the nine months ended September 30, 2024. The decrease was primarily due to the release of $27.4 million of our valuation allowance on deferred tax assets, as a discrete tax benefit during the three months ended September 30, 2025, and the increase in stock-based compensation deductions as a result of our Company's appreciated stock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adjusted for interest income or expense, provision (benefit) for income taxes, depreciation and amortization, stock-based compensation, dormant account fees, gain on extinguishment of convertible debt, changes in fair value of earnout liabilities, changes in fair value of public and private warrant liabilities, legal settlement and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51" w:name="page52"/>
    <w:bookmarkEnd w:id="51"/>
    <w:p>
      <w:pPr>
        <w:ind w:right="100"/>
        <w:spacing w:after="0" w:line="282" w:lineRule="auto"/>
        <w:rPr>
          <w:sz w:val="20"/>
          <w:szCs w:val="20"/>
          <w:color w:val="auto"/>
        </w:rPr>
      </w:pPr>
      <w:r>
        <w:rPr>
          <w:rFonts w:ascii="Times New Roman" w:cs="Times New Roman" w:eastAsia="Times New Roman" w:hAnsi="Times New Roman"/>
          <w:sz w:val="18"/>
          <w:szCs w:val="18"/>
          <w:color w:val="auto"/>
        </w:rPr>
        <w:t>expenses, and other non-recurring items determined by management. Adjusted EBITDA is intended as a supplemental measure of our performance that is neither required by, nor presented in accordance with, GAAP.</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this measure. In addition, our presentation of this measure should not be construed as an inference that our future results will be unaffected by unusual or non-recurring items. Our computation of Adjusted EBITDA may not be comparable to other similarly titled measures computed by other companies, because not all companies calculate Adjusted EBITDA in the same fashion.</w:t>
      </w:r>
    </w:p>
    <w:p>
      <w:pPr>
        <w:spacing w:after="0" w:line="7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You should review the reconciliation of net income to Adjusted EBITDA below, and no single financial measure should be relied upon to evaluate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three and nine months ended September 30, 2025 and 2024, respectively: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180" w:type="dxa"/>
            <w:vAlign w:val="bottom"/>
            <w:gridSpan w:val="4"/>
          </w:tcPr>
          <w:p>
            <w:pPr>
              <w:jc w:val="center"/>
              <w:ind w:left="533"/>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right="374"/>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B6DEE8"/>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92,072</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00" w:type="dxa"/>
            <w:vAlign w:val="bottom"/>
            <w:shd w:val="clear" w:color="auto" w:fill="B6DEE8"/>
          </w:tcPr>
          <w:p>
            <w:pPr>
              <w:spacing w:after="0"/>
              <w:rPr>
                <w:sz w:val="18"/>
                <w:szCs w:val="18"/>
                <w:color w:val="auto"/>
              </w:rPr>
            </w:pPr>
          </w:p>
        </w:tc>
        <w:tc>
          <w:tcPr>
            <w:tcW w:w="98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(33,642)</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Account inactivity fees</w:t>
            </w:r>
          </w:p>
        </w:tc>
        <w:tc>
          <w:tcPr>
            <w:tcW w:w="1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(813)</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(4,841)</w:t>
            </w:r>
          </w:p>
        </w:tc>
        <w:tc>
          <w:tcPr>
            <w:tcW w:w="1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100" w:type="dxa"/>
            <w:vAlign w:val="bottom"/>
            <w:shd w:val="clear" w:color="auto" w:fill="B6DEE8"/>
          </w:tcPr>
          <w:p>
            <w:pPr>
              <w:spacing w:after="0"/>
              <w:rPr>
                <w:sz w:val="18"/>
                <w:szCs w:val="18"/>
                <w:color w:val="auto"/>
              </w:rPr>
            </w:pPr>
          </w:p>
        </w:tc>
        <w:tc>
          <w:tcPr>
            <w:tcW w:w="98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(9,186)</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B6DEE8"/>
          </w:tcPr>
          <w:p>
            <w:pPr>
              <w:spacing w:after="0"/>
              <w:rPr>
                <w:sz w:val="18"/>
                <w:szCs w:val="18"/>
                <w:color w:val="auto"/>
              </w:rPr>
            </w:pPr>
          </w:p>
        </w:tc>
      </w:tr>
      <w:tr>
        <w:trPr>
          <w:trHeight w:val="210"/>
        </w:trPr>
        <w:tc>
          <w:tcPr>
            <w:tcW w:w="618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58,636</w:t>
            </w:r>
          </w:p>
        </w:tc>
        <w:tc>
          <w:tcPr>
            <w:tcW w:w="340" w:type="dxa"/>
            <w:vAlign w:val="bottom"/>
            <w:tcBorders>
              <w:top w:val="single" w:sz="8" w:color="B6DEE8"/>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24,712</w:t>
            </w:r>
          </w:p>
        </w:tc>
        <w:tc>
          <w:tcPr>
            <w:tcW w:w="100" w:type="dxa"/>
            <w:vAlign w:val="bottom"/>
            <w:tcBorders>
              <w:top w:val="single" w:sz="8" w:color="B6DEE8"/>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5"/>
        </w:trPr>
        <w:tc>
          <w:tcPr>
            <w:tcW w:w="6180" w:type="dxa"/>
            <w:vAlign w:val="bottom"/>
          </w:tcPr>
          <w:p>
            <w:pPr>
              <w:spacing w:after="0"/>
              <w:rPr>
                <w:sz w:val="24"/>
                <w:szCs w:val="24"/>
                <w:color w:val="auto"/>
              </w:rPr>
            </w:pPr>
          </w:p>
        </w:tc>
        <w:tc>
          <w:tcPr>
            <w:tcW w:w="3180" w:type="dxa"/>
            <w:vAlign w:val="bottom"/>
            <w:gridSpan w:val="4"/>
          </w:tcPr>
          <w:p>
            <w:pPr>
              <w:jc w:val="center"/>
              <w:ind w:left="533"/>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right="374"/>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B6DEE8"/>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129,924</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00" w:type="dxa"/>
            <w:vAlign w:val="bottom"/>
            <w:shd w:val="clear" w:color="auto" w:fill="B6DEE8"/>
          </w:tcPr>
          <w:p>
            <w:pPr>
              <w:spacing w:after="0"/>
              <w:rPr>
                <w:sz w:val="18"/>
                <w:szCs w:val="18"/>
                <w:color w:val="auto"/>
              </w:rPr>
            </w:pPr>
          </w:p>
        </w:tc>
        <w:tc>
          <w:tcPr>
            <w:tcW w:w="98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(26,118)</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Account inactivity fees</w:t>
            </w:r>
          </w:p>
        </w:tc>
        <w:tc>
          <w:tcPr>
            <w:tcW w:w="1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(813)</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(33,442)</w:t>
            </w: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3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r>
      <w:tr>
        <w:trPr>
          <w:trHeight w:val="250"/>
        </w:trPr>
        <w:tc>
          <w:tcPr>
            <w:tcW w:w="61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bottom w:val="single" w:sz="8" w:color="auto"/>
            </w:tcBorders>
            <w:shd w:val="clear" w:color="auto" w:fill="B6DEE8"/>
          </w:tcPr>
          <w:p>
            <w:pPr>
              <w:jc w:val="right"/>
              <w:ind w:right="9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153,751</w:t>
            </w:r>
          </w:p>
        </w:tc>
        <w:tc>
          <w:tcPr>
            <w:tcW w:w="340" w:type="dxa"/>
            <w:vAlign w:val="bottom"/>
            <w:tcBorders>
              <w:bottom w:val="single" w:sz="8" w:color="B6DEE8"/>
            </w:tcBorders>
            <w:shd w:val="clear" w:color="auto" w:fill="B6DEE8"/>
          </w:tcPr>
          <w:p>
            <w:pPr>
              <w:spacing w:after="0"/>
              <w:rPr>
                <w:sz w:val="21"/>
                <w:szCs w:val="21"/>
                <w:color w:val="auto"/>
              </w:rPr>
            </w:pPr>
          </w:p>
        </w:tc>
        <w:tc>
          <w:tcPr>
            <w:tcW w:w="1100" w:type="dxa"/>
            <w:vAlign w:val="bottom"/>
            <w:tcBorders>
              <w:bottom w:val="single" w:sz="8" w:color="auto"/>
            </w:tcBorders>
            <w:shd w:val="clear" w:color="auto" w:fill="B6DEE8"/>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53,048</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-2365375</wp:posOffset>
            </wp:positionV>
            <wp:extent cx="603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-2365375</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of Liquidity and Capital Resources</w:t>
      </w:r>
    </w:p>
    <w:p>
      <w:pPr>
        <w:spacing w:after="0" w:line="1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historically financed our operations through cash receipts from service and transaction-based revenues, equity financings, borrowings under our Debt Facility, and proceeds from our business combination. As of September 30, 2025 and December 31, 2024, our cash and cash equivalents, marketable securities, investments and restricted cash totaled $93.6 million and $91.9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ind w:right="160"/>
        <w:spacing w:after="0" w:line="282" w:lineRule="auto"/>
        <w:rPr>
          <w:sz w:val="20"/>
          <w:szCs w:val="20"/>
          <w:color w:val="auto"/>
        </w:rPr>
      </w:pPr>
      <w:r>
        <w:rPr>
          <w:rFonts w:ascii="Times New Roman" w:cs="Times New Roman" w:eastAsia="Times New Roman" w:hAnsi="Times New Roman"/>
          <w:sz w:val="18"/>
          <w:szCs w:val="18"/>
          <w:color w:val="auto"/>
        </w:rPr>
        <w:t>We have achieved profitability and generated positive net income in recent periods. However, we may incur net losses in future periods as we continue to expand and enhance our financial platform in accordance with our strategic operating plan and capital allocation priorities.</w:t>
      </w:r>
    </w:p>
    <w:p>
      <w:pPr>
        <w:spacing w:after="0" w:line="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ability to access additional capital when needed is not assured. If capital is not available when and in the amounts needed, we could be required to delay, scale back or abandon development programs and operations, which could materially harm our business prospects and financial condition.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Assessment</w:t>
      </w:r>
    </w:p>
    <w:p>
      <w:pPr>
        <w:spacing w:after="0" w:line="1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our current cash position is sufficient to meet working capital requirements, capital expenditures and fund operations for at least 12 months from the date of this report. We may pursue additional capital through private or public equity or debt financings. The amount and timing of future funding requirements will depend on various factors, including the pace and results of our product development and market expansion efforts.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 assurances can be provided that additional funding will be available on terms acceptable to us, if at all. If we are unable to raise additional capital as needed, we may need to significantly curtail operations, modify strategic plans, or dispose of certain operations or assets.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Authorization</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March 2025, our Board of Directors authorized a share repurchase program under which we could repurchase up to $50.0 million of our outstanding Class A common stock (the "March Repurchase Plan"). In March 2025, we repurchased 81,370 Class A common shares for an aggregate cost of $6.9 million. In August 2025, 132,155 Class A common shares were purchased for an aggregate cost of $25.0 million under the March Repurchase Plan. These repurchases were funded using general corporate funds and classified as treasury stock.</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August 2025, our Board of Directors authorized a share repurchase program under which we may repurchase up to $125.0 million of our outstanding Class A common stock (the "August Repurchase Plan"), which replaced the March Repurchase Plan. Prior to being replaced, $18.1 million remained available for share repurchases under the March Repurchase Plan. The repurchases may be conducted through open market transactions, privately negotiated transactions, block trades, one or more Rule 10b5-1 trading plans or other means our management deems appropriate. The program is part of our capital allocation strategy to return capital to shareholders and manage dilution from equity compensation. The timing, price, and volume of repurchases are subject to management’s discretion and depend on market conditions, legal requirements, and other factors. We may suspend or discontinue the program at any time without prior notice. The program has no expiration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there was $125.0 million available for share repurchases under the August Repurchase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various agreements with vendors that may subject us to minimum annual requirements. We believe we will be able to adequately fulfill these obligations through cash generated from operations and existing cash balances. We do not have any "off-balance sheet arrangements," as defined by SEC regulations.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maintain leased office locations despite implementing a remote workforce strategy. We are required to make contractual payments until our operating leases are terminated or expire. Our remaining leases have terms of approximately 0.25 to 3.1 years as of September 30, 2025, with a total lease liability of $0.3 million. See Note 12, Leases.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to continue generating ExtraCash primarily using balance sheet cash and our Debt Facility as needed. Monthly interest payments are required on term loan borrowings under the Debt Facility. At September 30, 2025, $75.0 million of term loans were outstanding. See Note 10, Debt Facility.</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recorded accruals related to certain legal contingencies as of September 30, 2025, reflecting management's best estimate of probable and reasonably estimable losses from ongoing legal proceedings. While we do not expect these matters to materially impair our liquidity, they represent known future cash uses and are reviewed and adjusted as developments warrant. See Note 12, Commitments and Contingencies.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use cash to acquire businesses and technologies. The nature of these transactions makes it difficult to predict the amount and timing of such cash 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tbl>
      <w:tblPr>
        <w:tblLayout w:type="fixed"/>
        <w:tblInd w:w="58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0"/>
                <w:szCs w:val="20"/>
                <w:color w:val="auto"/>
              </w:rPr>
            </w:pPr>
          </w:p>
        </w:tc>
        <w:tc>
          <w:tcPr>
            <w:tcW w:w="37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tc>
        <w:tc>
          <w:tcPr>
            <w:tcW w:w="1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B6DEE8"/>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196,731</w:t>
            </w:r>
          </w:p>
        </w:tc>
        <w:tc>
          <w:tcPr>
            <w:tcW w:w="220" w:type="dxa"/>
            <w:vAlign w:val="bottom"/>
            <w:shd w:val="clear" w:color="auto" w:fill="B6DEE8"/>
          </w:tcPr>
          <w:p>
            <w:pPr>
              <w:spacing w:after="0"/>
              <w:rPr>
                <w:sz w:val="18"/>
                <w:szCs w:val="18"/>
                <w:color w:val="auto"/>
              </w:rPr>
            </w:pPr>
          </w:p>
        </w:tc>
        <w:tc>
          <w:tcPr>
            <w:tcW w:w="540" w:type="dxa"/>
            <w:vAlign w:val="bottom"/>
            <w:gridSpan w:val="2"/>
            <w:shd w:val="clear" w:color="auto" w:fill="B6DEE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83,423</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(151,919)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(19,028)</w:t>
            </w:r>
          </w:p>
        </w:tc>
      </w:tr>
      <w:tr>
        <w:trPr>
          <w:trHeight w:val="216"/>
        </w:trPr>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B6DEE8"/>
          </w:tcPr>
          <w:p>
            <w:pPr>
              <w:spacing w:after="0"/>
              <w:rPr>
                <w:sz w:val="18"/>
                <w:szCs w:val="18"/>
                <w:color w:val="auto"/>
              </w:rPr>
            </w:pPr>
          </w:p>
        </w:tc>
        <w:tc>
          <w:tcPr>
            <w:tcW w:w="178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(44,459)</w:t>
            </w:r>
          </w:p>
        </w:tc>
        <w:tc>
          <w:tcPr>
            <w:tcW w:w="16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(70,868)</w:t>
            </w:r>
          </w:p>
        </w:tc>
      </w:tr>
      <w:tr>
        <w:trPr>
          <w:trHeight w:val="20"/>
        </w:trPr>
        <w:tc>
          <w:tcPr>
            <w:tcW w:w="6160" w:type="dxa"/>
            <w:vAlign w:val="bottom"/>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60" w:type="dxa"/>
            <w:vAlign w:val="bottom"/>
            <w:shd w:val="clear" w:color="auto" w:fill="B6DE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22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(6,473)</w:t>
            </w:r>
          </w:p>
        </w:tc>
      </w:tr>
      <w:tr>
        <w:trPr>
          <w:trHeight w:val="20"/>
        </w:trPr>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operating activities increased compared to the nine months ended September 30, 2024 due to increases in operating revenues and a reduction in various operating expenses across the organization. Net cash provided by operating activities for the nine months ended September 30, 2025 included net income of $129.9 million, and excluding non-cash impacts, included an increase in legal settlement accruals of $9.0 million, an increase in other non-current liabilities of $2.1 million, an increase in accounts payable of $1.1 million, and an increase in other current liabilities of $0.5 million. These changes were offset by an increase in ExtraCash receivables, service based revenue of $12.6 million, an increase in prepaid expenses and other current assets of $9.8 million, and a decrease in accrued expenses of $1.4 million.</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operating activities increased compared to the nine months ended September 30, 2023 due to increases in operating revenues and a reduction in various operating expenses across the organization. Net cash provided by operating activities for the nine months ended September 30, 2024 included net income of $41.1 million, and excluding non-cash impacts, included an increase in legal settlement accruals of $3.8 million, an increase in accounts payable of $2.9 million, an increase in other non-current liabilities of $2.8 million, an increase in accrued expenses of $4.5 million, and a decrease in prepaid income taxes of $0.1 million. These changes were offset by an increase in prepaid expenses and other current assets of $6.0 million and an increase in ExtraCash receivables, service based revenue of $3.7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investing activities was $151.9 million. This included the purchases of investments of $169.7 million, net ExtraCash originations and collections of $145.6 million, and payments related to internally developed software costs of $4.8 million. These changes were offset by the sale and maturity of investments of $168.3 million.</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investing activities was $19.0 million. This included the purchases of investments of $74.8 million, purchases of marketable securities of $59.3 million, net ExtraCash originations and collections of $87.0 million and payments related to internally developed software costs and property and equipment of $5.5 million. These changes were offset by the sale and maturity of investments of $147.7 million and sale of marketable securities of $60.1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11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financing activities was $44.5 million, which consisted of the $13.3 million for the payment of taxes for shares withheld related to net share settlements and $31.9 million related to repurchases of Class A Common Stock, offset by $0.7 million for proceeds received for stock option exercises.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financing activities was $70.9 million, which consisted of the $71.8 million paydown of the FTX Ventures Ltd. convertible note and associated costs, offset by $0.9 million for proceeds received for stock option exercises.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GAAP. The preparation of these condensed consolidated financial statements requires us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p>
    <w:p>
      <w:pPr>
        <w:spacing w:after="0" w:line="79"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ind w:right="220"/>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For further details, please refer to Note 2 in our accompanying condensed consolidated financial statements for the three months ended September 30, 2025 and 2024 included in this Form 10-Q.</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estimates are described in the notes to our condensed consolidated financial statements, we believe that the following accounting estimates require a greater degree of judgment and complexity and are the most critical to understanding our financial condition and historical and future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receivable amounts reduced by an allowance for expected credit losses. We pool our ExtraCash receivables,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ExtraCash receivables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ExtraCash receivable. Adjustments to the allowance each period for changes in the estimate of lifetime expected credit losses are recognized in operating expenses—provision for credit losses in the consolidated statements of operations.</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determine that an ExtraCash receivable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ExtraCash receivable may result in an additional allowance for expected credit losses being recognized in the period in which the change occurs.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follow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it operates, and the development of tax planning strategies during the year. In addition, our tax expense can be impacted by changes in tax rates or laws and other factors that cannot be predicted with certainty. As such, there can be significant volatility in interim tax provisions and/or benefits.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$2.5 million and $1.8 million of uncertain tax positions as of September 30, 2025 and 2024, respectively, related to state income taxes and federal and state R&amp;D tax credits.</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accrued on any unrecognized tax benefits as a component of income tax expense within the statement of operations.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subject to income tax in jurisdictions in which we operate, including the United States. For U.S. income tax purposes, we are taxed as a Subchapter C corporation.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recognize deferred taxes for temporary differences between the basis of assets and liabilities for financial statement and income tax purposes. We previously recorded a valuation allowance against our deferred tax assets, net of certain deferred tax liabilities. As of September 30, 2025, based on all available positive and negative evidence, having demonstrated sustained profitability, which is objective and verifiable, and taking into account anticipated future earnings, we have concluded that it is more likely than not that our U.S. federal and state deferred tax assets will be realizable. When a change in valuation allowance is recognized during an interim period, the change in valuation allowance resulting from current year income is included in the annual effective tax rate and the release of valuation allowance supported by projections of future taxable income is recorded as a discrete tax benefit in the interim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100"/>
        <w:spacing w:after="0" w:line="282" w:lineRule="auto"/>
        <w:rPr>
          <w:sz w:val="20"/>
          <w:szCs w:val="20"/>
          <w:color w:val="auto"/>
        </w:rPr>
      </w:pPr>
      <w:r>
        <w:rPr>
          <w:rFonts w:ascii="Times New Roman" w:cs="Times New Roman" w:eastAsia="Times New Roman" w:hAnsi="Times New Roman"/>
          <w:sz w:val="18"/>
          <w:szCs w:val="18"/>
          <w:color w:val="auto"/>
        </w:rPr>
        <w:t>period. We released $27.4 million of its valuation allowance as a discrete tax benefit during the three months ended September 30, 2025. We will continue to monitor the need for a valuation allowance against our deferred tax assets on a quarterly basis.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27, 2025, California enacted a new law requiring financial institutions to utilize a single sales factor apportionment method, effective for tax years beginning in 2025. While management is currently evaluating the ultimate impact of this change, we expect that this legislation will reduce our California apportioned income and related state income tax expense beginning in 2025.</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H.R.1, referred to as the One Big Beautiful Bill Act ("OBBBA"), was signed into law. The OBBBA contains several changes to corporate taxation including modifications to capitalization of research and development expenses, limitations on deductions for interest expense, and accelerated fixed asset depreciation. For 2025, we will have the option to accelerate our previously capitalized and unamortized U.S. research and development costs over a one or two-year period. We are currently assessing the impact on our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have elected to take advantage of the benefits of the extended transition period for new or revised financial accounting standards. We will no longer qualify as an emerging growth company after December 31, 2025, but expect to continue to take advantage of the benefits of the extended transition period until that date,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w:t>
      </w:r>
    </w:p>
    <w:p>
      <w:pPr>
        <w:spacing w:after="0" w:line="3" w:lineRule="exact"/>
        <w:rPr>
          <w:sz w:val="20"/>
          <w:szCs w:val="20"/>
          <w:color w:val="auto"/>
        </w:rPr>
      </w:pPr>
    </w:p>
    <w:p>
      <w:pPr>
        <w:ind w:firstLine="8"/>
        <w:spacing w:after="0" w:line="252"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condensed consolidated financial statements included in this report for the recent accounting pronouncements adopted and the recent accounting pronouncements not yet adopted for the nine months ended September 30, 2025 and 2024.</w:t>
      </w:r>
    </w:p>
    <w:p>
      <w:pPr>
        <w:spacing w:after="0" w:line="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of our condensed consolidated financial statements included in this report for a discussion of the impact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until after the first fiscal year-end in which Item 305(c) of Regulation S-K is applicable for former smaller reporting companies.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the Chief Executive Officer and Chief Financial Officer, the effectiveness of our disclosure controls and procedures (as defined in Rules 13a-15(e) and 15d-15(e) under the Exchange Act) as of the end of the period covered by this report. Based on this evaluation, the Chief Executive Officer and Chief Financial Officer concluded that our disclosure controls and procedures were effective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Note 12, “Commitments and Contingencies,” to the condensed consolidated financial statements included elsewhere in this report.</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other legal proceedings, including arbitrations, arising in the ordinary course of business. We are not currently a party to any other such litigation or legal proceedings that, in the opinion of our management, are likely to have a material adverse effect on our business. However, in light of the uncertainties involved in such matters, including the fact that some legal proceedings are at preliminary stages or seek an indeterminate amount of damages, penalties or fines, it is possible that future outcomes of legal proceedings could have a material impact on our results of operations. Regardless of outcome, litigation can have an adverse impact on us because of defense and settlement costs, diversion of management resources, negative publicity and reputational harm and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the date of this Form 10-Q, there have been no material changes to the risk factors disclosed in our Annual Report on Form 10-K for the year ended December 31, 2024, filed with the SEC on March 4, 2025, other than as noted in Part II, Item 1A “Risk Factors” of our Quarterly Report on Form 10-Q for the quarter ended March 31, 2025 and our Quarterly Report on Form 10-Q for the quarter ended June 30, 2025.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8"/>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9"/>
              </w:rPr>
              <w:t>Item 2. Unregistered Sales of Equity Securities and Use of Proceeds.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18"/>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 Total Number of</w:t>
            </w:r>
          </w:p>
        </w:tc>
        <w:tc>
          <w:tcPr>
            <w:tcW w:w="100" w:type="dxa"/>
            <w:vAlign w:val="bottom"/>
          </w:tcPr>
          <w:p>
            <w:pPr>
              <w:spacing w:after="0"/>
              <w:rPr>
                <w:sz w:val="24"/>
                <w:szCs w:val="24"/>
                <w:color w:val="auto"/>
              </w:rPr>
            </w:pP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 Maximum Dollar Value</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 Total 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 Average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Class A Shares</w:t>
            </w:r>
          </w:p>
        </w:tc>
        <w:tc>
          <w:tcPr>
            <w:tcW w:w="100" w:type="dxa"/>
            <w:vAlign w:val="bottom"/>
          </w:tcPr>
          <w:p>
            <w:pPr>
              <w:spacing w:after="0"/>
              <w:rPr>
                <w:sz w:val="18"/>
                <w:szCs w:val="18"/>
                <w:color w:val="auto"/>
              </w:rPr>
            </w:pP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Class A Shares that May</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Class A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Price Paid per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Yet Be Purchased Under</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Share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the Plans or Program (in</w:t>
            </w:r>
          </w:p>
        </w:tc>
      </w:tr>
      <w:tr>
        <w:trPr>
          <w:trHeight w:val="259"/>
        </w:trPr>
        <w:tc>
          <w:tcPr>
            <w:tcW w:w="58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Plans or Programs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millions)*</w:t>
            </w:r>
          </w:p>
        </w:tc>
        <w:tc>
          <w:tcPr>
            <w:tcW w:w="120" w:type="dxa"/>
            <w:vAlign w:val="bottom"/>
          </w:tcPr>
          <w:p>
            <w:pPr>
              <w:spacing w:after="0"/>
              <w:rPr>
                <w:sz w:val="22"/>
                <w:szCs w:val="22"/>
                <w:color w:val="auto"/>
              </w:rPr>
            </w:pPr>
          </w:p>
        </w:tc>
      </w:tr>
      <w:tr>
        <w:trPr>
          <w:trHeight w:val="216"/>
        </w:trPr>
        <w:tc>
          <w:tcPr>
            <w:tcW w:w="580" w:type="dxa"/>
            <w:vAlign w:val="bottom"/>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July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August 31,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132,155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September 1</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September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132,155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189.2</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-170815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-170815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right="260" w:firstLine="8"/>
        <w:spacing w:after="0" w:line="284" w:lineRule="auto"/>
        <w:tabs>
          <w:tab w:leader="none" w:pos="1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Refer to “Liquidity and Capital Resources—Share Repurchase Authorization” for additional information regarding our authorized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20"/>
          </w:cols>
          <w:pgMar w:left="320" w:top="1089" w:right="45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7"/>
          <w:szCs w:val="17"/>
          <w:b w:val="1"/>
          <w:bCs w:val="1"/>
          <w:u w:val="single" w:color="auto"/>
          <w:color w:val="auto"/>
        </w:rPr>
        <w:t>Description</w:t>
      </w:r>
    </w:p>
    <w:p>
      <w:pPr>
        <w:spacing w:after="0" w:line="145" w:lineRule="exact"/>
        <w:rPr>
          <w:sz w:val="20"/>
          <w:szCs w:val="20"/>
          <w:color w:val="auto"/>
        </w:rPr>
      </w:pPr>
    </w:p>
    <w:p>
      <w:pPr>
        <w:sectPr>
          <w:pgSz w:w="11900" w:h="16838" w:orient="portrait"/>
          <w:cols w:equalWidth="0" w:num="2">
            <w:col w:w="4920" w:space="720"/>
            <w:col w:w="5480"/>
          </w:cols>
          <w:pgMar w:left="320" w:top="1089" w:right="459" w:bottom="1440" w:gutter="0" w:footer="0" w:header="0"/>
          <w:type w:val="continuous"/>
        </w:sectPr>
      </w:pPr>
    </w:p>
    <w:p>
      <w:pPr>
        <w:ind w:left="60"/>
        <w:spacing w:after="0"/>
        <w:tabs>
          <w:tab w:leader="none" w:pos="9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First Amendment to Program Agreement, dated August 4, 2025, by and between Coastal Community Bank and Dave Operating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-7620</wp:posOffset>
            </wp:positionV>
            <wp:extent cx="612394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23940" cy="8890"/>
                    </a:xfrm>
                    <a:prstGeom prst="rect">
                      <a:avLst/>
                    </a:prstGeom>
                    <a:noFill/>
                  </pic:spPr>
                </pic:pic>
              </a:graphicData>
            </a:graphic>
          </wp:anchor>
        </w:drawing>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Sixth Amendment to Service Agreement, dated August 28, 2025, by and between Dave Operating LLC and Galileo Financial Technologies,</w:t>
            </w:r>
          </w:p>
        </w:tc>
      </w:tr>
      <w:tr>
        <w:trPr>
          <w:trHeight w:val="20"/>
        </w:trPr>
        <w:tc>
          <w:tcPr>
            <w:tcW w:w="9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LLC.</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 under the Securities Exchange Act of 1934, as adopted pursuant to</w:t>
            </w:r>
          </w:p>
        </w:tc>
      </w:tr>
      <w:tr>
        <w:trPr>
          <w:trHeight w:val="20"/>
        </w:trPr>
        <w:tc>
          <w:tcPr>
            <w:tcW w:w="94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under the Securities Exchange Act of 1934, as adopted pursuant to</w:t>
            </w:r>
          </w:p>
        </w:tc>
      </w:tr>
      <w:tr>
        <w:trPr>
          <w:trHeight w:val="20"/>
        </w:trPr>
        <w:tc>
          <w:tcPr>
            <w:tcW w:w="94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8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18 U.S.C. §1350, as adopted pursuant to §906 of the</w:t>
            </w:r>
          </w:p>
        </w:tc>
      </w:tr>
      <w:tr>
        <w:trPr>
          <w:trHeight w:val="20"/>
        </w:trPr>
        <w:tc>
          <w:tcPr>
            <w:tcW w:w="94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8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2"/>
            <w:shd w:val="clear" w:color="auto" w:fill="0000FF"/>
          </w:tcPr>
          <w:p>
            <w:pPr>
              <w:spacing w:after="0" w:line="20" w:lineRule="exact"/>
              <w:rPr>
                <w:sz w:val="1"/>
                <w:szCs w:val="1"/>
                <w:color w:val="auto"/>
              </w:rPr>
            </w:pPr>
          </w:p>
        </w:tc>
        <w:tc>
          <w:tcPr>
            <w:tcW w:w="8080" w:type="dxa"/>
            <w:vAlign w:val="bottom"/>
            <w:gridSpan w:val="4"/>
          </w:tcPr>
          <w:p>
            <w:pPr>
              <w:spacing w:after="0" w:line="20" w:lineRule="exact"/>
              <w:rPr>
                <w:sz w:val="1"/>
                <w:szCs w:val="1"/>
                <w:color w:val="auto"/>
              </w:rPr>
            </w:pPr>
          </w:p>
        </w:tc>
      </w:tr>
      <w:tr>
        <w:trPr>
          <w:trHeight w:val="34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40" w:type="dxa"/>
            <w:vAlign w:val="bottom"/>
          </w:tcPr>
          <w:p>
            <w:pPr>
              <w:spacing w:after="0"/>
              <w:rPr>
                <w:sz w:val="20"/>
                <w:szCs w:val="20"/>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bl>
    <w:p>
      <w:pPr>
        <w:spacing w:after="0" w:line="103" w:lineRule="exact"/>
        <w:rPr>
          <w:sz w:val="20"/>
          <w:szCs w:val="20"/>
          <w:color w:val="auto"/>
        </w:rPr>
      </w:pPr>
    </w:p>
    <w:p>
      <w:pPr>
        <w:ind w:left="980" w:hanging="911"/>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and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type w:val="continuous"/>
        </w:sectPr>
      </w:pPr>
    </w:p>
    <w:bookmarkStart w:id="58" w:name="page59"/>
    <w:bookmarkEnd w:id="58"/>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4, 2025</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29" w:lineRule="exact"/>
        <w:rPr>
          <w:sz w:val="20"/>
          <w:szCs w:val="20"/>
          <w:color w:val="auto"/>
        </w:rPr>
      </w:pPr>
    </w:p>
    <w:p>
      <w:pPr>
        <w:ind w:left="572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Jason Wilk</w:t>
      </w:r>
    </w:p>
    <w:p>
      <w:pPr>
        <w:spacing w:after="0" w:line="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4, 2025</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29" w:lineRule="exact"/>
        <w:rPr>
          <w:sz w:val="20"/>
          <w:szCs w:val="20"/>
          <w:color w:val="auto"/>
        </w:rPr>
      </w:pPr>
    </w:p>
    <w:p>
      <w:pPr>
        <w:ind w:left="572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Kyle Beilman</w:t>
      </w:r>
    </w:p>
    <w:p>
      <w:pPr>
        <w:spacing w:after="0" w:line="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981" w:right="1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31" w:lineRule="exact"/>
        <w:rPr>
          <w:sz w:val="20"/>
          <w:szCs w:val="20"/>
          <w:color w:val="auto"/>
        </w:rPr>
      </w:pPr>
    </w:p>
    <w:p>
      <w:pPr>
        <w:jc w:val="center"/>
        <w:ind w:right="40"/>
        <w:spacing w:after="0" w:line="298" w:lineRule="auto"/>
        <w:rPr>
          <w:sz w:val="20"/>
          <w:szCs w:val="20"/>
          <w:color w:val="auto"/>
        </w:rPr>
      </w:pPr>
      <w:r>
        <w:rPr>
          <w:rFonts w:ascii="Times New Roman" w:cs="Times New Roman" w:eastAsia="Times New Roman" w:hAnsi="Times New Roman"/>
          <w:sz w:val="16"/>
          <w:szCs w:val="16"/>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 PROGRAM AGREEMENT</w:t>
      </w:r>
    </w:p>
    <w:p>
      <w:pPr>
        <w:spacing w:after="0" w:line="2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21"/>
          <w:szCs w:val="21"/>
          <w:color w:val="auto"/>
        </w:rPr>
        <w:t>THIS FIRST AMENDMENT TO THE PROGRAM AGREEMENT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is made to be effective as of August 4, 2025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and among Coastal Community Bank, a Washington chartered bank (“</w:t>
      </w:r>
      <w:r>
        <w:rPr>
          <w:rFonts w:ascii="Times New Roman" w:cs="Times New Roman" w:eastAsia="Times New Roman" w:hAnsi="Times New Roman"/>
          <w:sz w:val="21"/>
          <w:szCs w:val="21"/>
          <w:u w:val="single" w:color="auto"/>
          <w:color w:val="auto"/>
        </w:rPr>
        <w:t>Coastal</w:t>
      </w:r>
      <w:r>
        <w:rPr>
          <w:rFonts w:ascii="Times New Roman" w:cs="Times New Roman" w:eastAsia="Times New Roman" w:hAnsi="Times New Roman"/>
          <w:sz w:val="21"/>
          <w:szCs w:val="21"/>
          <w:color w:val="auto"/>
        </w:rPr>
        <w:t>”), and Dave Operating LLC (“</w:t>
      </w:r>
      <w:r>
        <w:rPr>
          <w:rFonts w:ascii="Times New Roman" w:cs="Times New Roman" w:eastAsia="Times New Roman" w:hAnsi="Times New Roman"/>
          <w:sz w:val="21"/>
          <w:szCs w:val="21"/>
          <w:u w:val="single" w:color="auto"/>
          <w:color w:val="auto"/>
        </w:rPr>
        <w:t>Dave</w:t>
      </w:r>
      <w:r>
        <w:rPr>
          <w:rFonts w:ascii="Times New Roman" w:cs="Times New Roman" w:eastAsia="Times New Roman" w:hAnsi="Times New Roman"/>
          <w:sz w:val="21"/>
          <w:szCs w:val="21"/>
          <w:color w:val="auto"/>
        </w:rPr>
        <w:t>”). Each of Coastal and Dave shall also be referenced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jc w:val="both"/>
        <w:ind w:firstLine="440"/>
        <w:spacing w:after="0" w:line="246" w:lineRule="auto"/>
        <w:tabs>
          <w:tab w:leader="none" w:pos="9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Coastal and Dave entered into that Program Agreement, dated February 27, 2025, as may be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from time to time, (the “</w:t>
      </w:r>
      <w:r>
        <w:rPr>
          <w:rFonts w:ascii="Times New Roman" w:cs="Times New Roman" w:eastAsia="Times New Roman" w:hAnsi="Times New Roman"/>
          <w:sz w:val="22"/>
          <w:szCs w:val="22"/>
          <w:u w:val="single" w:color="auto"/>
          <w:color w:val="auto"/>
        </w:rPr>
        <w:t>Program Agreement</w:t>
      </w:r>
      <w:r>
        <w:rPr>
          <w:rFonts w:ascii="Times New Roman" w:cs="Times New Roman" w:eastAsia="Times New Roman" w:hAnsi="Times New Roman"/>
          <w:sz w:val="22"/>
          <w:szCs w:val="22"/>
          <w:color w:val="auto"/>
        </w:rPr>
        <w:t>”), pursuant to which Dave offers certain branded services to Customers on behalf of Coastal in connection with the marketing and servicing of certain credit card accounts; and</w:t>
      </w:r>
    </w:p>
    <w:p>
      <w:pPr>
        <w:spacing w:after="0" w:line="194" w:lineRule="exact"/>
        <w:rPr>
          <w:rFonts w:ascii="Times New Roman" w:cs="Times New Roman" w:eastAsia="Times New Roman" w:hAnsi="Times New Roman"/>
          <w:sz w:val="22"/>
          <w:szCs w:val="22"/>
          <w:color w:val="auto"/>
        </w:rPr>
      </w:pPr>
    </w:p>
    <w:p>
      <w:pPr>
        <w:ind w:right="20" w:firstLine="757"/>
        <w:spacing w:after="0" w:line="262" w:lineRule="auto"/>
        <w:tabs>
          <w:tab w:leader="none" w:pos="118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now desire to update and amend certain terms of the Program Agreement,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herein.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3"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promises herein and for other good and valuable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adequacy of which are hereby acknowledged, the parties hereto agree as follows:</w:t>
      </w:r>
    </w:p>
    <w:p>
      <w:pPr>
        <w:spacing w:after="0" w:line="181" w:lineRule="exact"/>
        <w:rPr>
          <w:sz w:val="20"/>
          <w:szCs w:val="20"/>
          <w:color w:val="auto"/>
        </w:rPr>
      </w:pPr>
    </w:p>
    <w:p>
      <w:pPr>
        <w:ind w:firstLine="757"/>
        <w:spacing w:after="0" w:line="258" w:lineRule="auto"/>
        <w:tabs>
          <w:tab w:leader="none" w:pos="10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in this First Amendment, which are not otherwise defined herein, shall have the meaning given in the Program Agreement.</w:t>
      </w:r>
    </w:p>
    <w:p>
      <w:pPr>
        <w:spacing w:after="0" w:line="18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7.3(b)</w:t>
      </w:r>
      <w:r>
        <w:rPr>
          <w:rFonts w:ascii="Times New Roman" w:cs="Times New Roman" w:eastAsia="Times New Roman" w:hAnsi="Times New Roman"/>
          <w:sz w:val="22"/>
          <w:szCs w:val="22"/>
          <w:color w:val="auto"/>
        </w:rPr>
        <w:t>. Section 7.3(b) of the Program Agreement is hereby deleted and replaced with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209"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ExtraCash Balance Sheet Capacity</w:t>
      </w:r>
      <w:r>
        <w:rPr>
          <w:rFonts w:ascii="Times New Roman" w:cs="Times New Roman" w:eastAsia="Times New Roman" w:hAnsi="Times New Roman"/>
          <w:sz w:val="21"/>
          <w:szCs w:val="21"/>
          <w:color w:val="auto"/>
        </w:rPr>
        <w:t>. During the Term, Coastal shall maintain outstanding ExtraCash receivables balances on its balance sheet up to $225 million. Within [**] following the date on which Dave completes all of or a portion of the migration of its customers to Coastal as agreed to by the Parties, the minimum outstanding ExtraCash receivable balances held on Coastal’s balance sheet shall be [**] as of such date and at all times thereafter (the “</w:t>
      </w:r>
      <w:r>
        <w:rPr>
          <w:rFonts w:ascii="Times New Roman" w:cs="Times New Roman" w:eastAsia="Times New Roman" w:hAnsi="Times New Roman"/>
          <w:sz w:val="21"/>
          <w:szCs w:val="21"/>
          <w:u w:val="single" w:color="auto"/>
          <w:color w:val="auto"/>
        </w:rPr>
        <w:t>Minimum Receivables Balances</w:t>
      </w:r>
      <w:r>
        <w:rPr>
          <w:rFonts w:ascii="Times New Roman" w:cs="Times New Roman" w:eastAsia="Times New Roman" w:hAnsi="Times New Roman"/>
          <w:sz w:val="21"/>
          <w:szCs w:val="21"/>
          <w:color w:val="auto"/>
        </w:rPr>
        <w:t>”). Until Coastal meets the Minimum Receivables Balance, Coastal shall maintain up to</w:t>
      </w:r>
    </w:p>
    <w:p>
      <w:pPr>
        <w:spacing w:after="0" w:line="1" w:lineRule="exact"/>
        <w:rPr>
          <w:sz w:val="20"/>
          <w:szCs w:val="20"/>
          <w:color w:val="auto"/>
        </w:rPr>
      </w:pPr>
    </w:p>
    <w:p>
      <w:pPr>
        <w:jc w:val="both"/>
        <w:ind w:left="760" w:hanging="3"/>
        <w:spacing w:after="0" w:line="233" w:lineRule="auto"/>
        <w:tabs>
          <w:tab w:leader="none" w:pos="121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ExtraCash Program outstanding balances on its balance sheet. Dave shall have the option, but not the obligation, to purchase from Coastal any and all outstanding ExtraCash gross receivables that, as of the proposed purchase date, are less than or equal to sixty (60) calendar days past their respective origination dates; provided, however, in no event shall the total outstanding ExtraCash gross receivables balance held by Coastal be permitted to fall below the Minimum Receivables Balance. Dave shall be required to purchase any ExtraCash</w:t>
      </w:r>
    </w:p>
    <w:p>
      <w:pPr>
        <w:spacing w:after="0" w:line="200" w:lineRule="exact"/>
        <w:rPr>
          <w:sz w:val="20"/>
          <w:szCs w:val="20"/>
          <w:color w:val="auto"/>
        </w:rPr>
      </w:pPr>
    </w:p>
    <w:p>
      <w:pPr>
        <w:spacing w:after="0" w:line="204"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8"/>
          <w:szCs w:val="18"/>
          <w:color w:val="auto"/>
        </w:rPr>
        <w:t>FIRST AMENDMENT TO THE PROGRAM AGREEMENT</w:t>
      </w:r>
      <w:r>
        <w:rPr>
          <w:sz w:val="20"/>
          <w:szCs w:val="20"/>
          <w:color w:val="auto"/>
        </w:rPr>
        <w:tab/>
      </w: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0" w:name="page61"/>
    <w:bookmarkEnd w:id="60"/>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receivables balances that are not collected within sixty (60) calendar days following their origination date. Each such purchase shall be made [**]. Dave’s purchase of ExtraCash receivables shall be completed pursuant to the Receivables Sale and Agreement between Dave and Coastal dated June 9, 2025 as may be amended or restated from time to time. For purposes of this Agreement, “ExtraCash gross receivables” shall refer to the principal amount of ExtraCash receivables, not including any associated fees or charges.</w:t>
      </w:r>
    </w:p>
    <w:p>
      <w:pPr>
        <w:spacing w:after="0" w:line="204" w:lineRule="exact"/>
        <w:rPr>
          <w:sz w:val="20"/>
          <w:szCs w:val="20"/>
          <w:color w:val="auto"/>
        </w:rPr>
      </w:pPr>
    </w:p>
    <w:p>
      <w:pPr>
        <w:ind w:left="1020" w:hanging="263"/>
        <w:spacing w:after="0"/>
        <w:tabs>
          <w:tab w:leader="none" w:pos="10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7.4(c)</w:t>
      </w:r>
      <w:r>
        <w:rPr>
          <w:rFonts w:ascii="Times New Roman" w:cs="Times New Roman" w:eastAsia="Times New Roman" w:hAnsi="Times New Roman"/>
          <w:sz w:val="22"/>
          <w:szCs w:val="22"/>
          <w:color w:val="auto"/>
        </w:rPr>
        <w:t>. Section 7.4(c) of the Program Agreement is hereby deleted.</w:t>
      </w:r>
    </w:p>
    <w:p>
      <w:pPr>
        <w:spacing w:after="0" w:line="23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7.4(b)</w:t>
      </w:r>
      <w:r>
        <w:rPr>
          <w:rFonts w:ascii="Times New Roman" w:cs="Times New Roman" w:eastAsia="Times New Roman" w:hAnsi="Times New Roman"/>
          <w:sz w:val="22"/>
          <w:szCs w:val="22"/>
          <w:color w:val="auto"/>
        </w:rPr>
        <w:t>. Section 7.4(b) of the Program Agreement is hereby deleted and replaced with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209"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Agreed Percentage</w:t>
      </w:r>
      <w:r>
        <w:rPr>
          <w:rFonts w:ascii="Times New Roman" w:cs="Times New Roman" w:eastAsia="Times New Roman" w:hAnsi="Times New Roman"/>
          <w:sz w:val="21"/>
          <w:szCs w:val="21"/>
          <w:color w:val="auto"/>
        </w:rPr>
        <w:t>. To secure Coastal against Dave’s potential liability for Credit Losses and Fraud Losses as set forth in Section 7.4(a) above, Dave shall establish and maintain a deposit account (as defined in the Uniform Commercial Code) at Coastal in Coastal’s name (the “</w:t>
      </w:r>
      <w:r>
        <w:rPr>
          <w:rFonts w:ascii="Times New Roman" w:cs="Times New Roman" w:eastAsia="Times New Roman" w:hAnsi="Times New Roman"/>
          <w:sz w:val="21"/>
          <w:szCs w:val="21"/>
          <w:u w:val="single" w:color="auto"/>
          <w:color w:val="auto"/>
        </w:rPr>
        <w:t>Cash Collateral Account</w:t>
      </w:r>
      <w:r>
        <w:rPr>
          <w:rFonts w:ascii="Times New Roman" w:cs="Times New Roman" w:eastAsia="Times New Roman" w:hAnsi="Times New Roman"/>
          <w:sz w:val="21"/>
          <w:szCs w:val="21"/>
          <w:color w:val="auto"/>
        </w:rPr>
        <w:t>”) and, as further provided in Section 7.4(c), Dave each month shall fund the Cash Collateral Account in an amount (the “</w:t>
      </w:r>
      <w:r>
        <w:rPr>
          <w:rFonts w:ascii="Times New Roman" w:cs="Times New Roman" w:eastAsia="Times New Roman" w:hAnsi="Times New Roman"/>
          <w:sz w:val="21"/>
          <w:szCs w:val="21"/>
          <w:u w:val="single" w:color="auto"/>
          <w:color w:val="auto"/>
        </w:rPr>
        <w:t>Cash Collateral Reserve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Requirement</w:t>
      </w:r>
      <w:r>
        <w:rPr>
          <w:rFonts w:ascii="Times New Roman" w:cs="Times New Roman" w:eastAsia="Times New Roman" w:hAnsi="Times New Roman"/>
          <w:sz w:val="21"/>
          <w:szCs w:val="21"/>
          <w:color w:val="auto"/>
        </w:rPr>
        <w:t>”) equal to the sum of: [**] The funds in the Cash Collateral Account shall be available to Coastal to apply, with prior notice (but not prior demand) to Dave, to any and all Credit Losses and (upon Coastal’s election as set forth in Section 7.4(a)), and Fraud Losses (except for Fraud Losses directly arising from the ExtraCash Program feature). The Cash Collateral Account shall be funded by such amount on [**]. If there is any shortfall, Coastal shall notify Dave and Dave shall pay Coastal the amount of any such shortfall within [**]. Dave shall be liable for any deficiency if the funds in the Cash Collateral Account (together with any other Collateral) are insufficient to pay Coastal as set forth in Section 7.4(a). In addition, Dave will earn interest on the Cash Collateral Account equal to [**]. In the receivables sale agreement between the Parties, the Parties shall negotiate the terms (including any triggering threshold of Credit Card Receivables) of a different waterfall or other commercially reasonable security to secure Coastal against Dave’s potential liability for Credit Losses and Fraud Losses. Notwithstanding anything to the contrary, all purchases of ExtraCash receivables by Dave shall be funded exclusively from a separate collections account maintained by Dave and not from any Cash Collateral Account established pursuant to this Section 7.4. Dave shall replenish or Coastal shall reduce, as applicable, the amount held in the Cash Collateral Account no later than [**] following the end of each month to ensure that the balance maintained in the Cash Collateral Account is equal to the Cash Collateral Reserve Requirement as of such date. In the event this Agreement is terminated, upon expiration of any Transition Period, Coastal shall pay to Dave a success fee equal to [**]. Dave shall refrain from granting a security interest in the Cash Collateral Account or the funds to be deposited therein to any other Person other than Coastal. For the avoidance of doubt, the Cash Collateral Account is intended solely as security for Coastal’s exposure on Coastal-held receivables; it does not alter the accounting treatment of Dave’s product obligation liabilities or purchased receivables under applicable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8"/>
          <w:szCs w:val="18"/>
          <w:color w:val="auto"/>
        </w:rPr>
        <w:t>FIRST AMENDMENT TO THE PROGRAM AGREEMENT</w:t>
      </w:r>
      <w:r>
        <w:rPr>
          <w:sz w:val="20"/>
          <w:szCs w:val="20"/>
          <w:color w:val="auto"/>
        </w:rPr>
        <w:tab/>
      </w: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ind w:left="760" w:right="460" w:hanging="3"/>
        <w:spacing w:after="0" w:line="461" w:lineRule="auto"/>
        <w:tabs>
          <w:tab w:leader="none" w:pos="102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Schedule 6.2</w:t>
      </w:r>
      <w:r>
        <w:rPr>
          <w:rFonts w:ascii="Times New Roman" w:cs="Times New Roman" w:eastAsia="Times New Roman" w:hAnsi="Times New Roman"/>
          <w:sz w:val="22"/>
          <w:szCs w:val="22"/>
          <w:color w:val="auto"/>
        </w:rPr>
        <w:t xml:space="preserve">. Sections B(5) and B(6) of </w:t>
      </w:r>
      <w:r>
        <w:rPr>
          <w:rFonts w:ascii="Times New Roman" w:cs="Times New Roman" w:eastAsia="Times New Roman" w:hAnsi="Times New Roman"/>
          <w:sz w:val="22"/>
          <w:szCs w:val="22"/>
          <w:u w:val="single" w:color="auto"/>
          <w:color w:val="auto"/>
        </w:rPr>
        <w:t>Schedule 6.2</w:t>
      </w:r>
      <w:r>
        <w:rPr>
          <w:rFonts w:ascii="Times New Roman" w:cs="Times New Roman" w:eastAsia="Times New Roman" w:hAnsi="Times New Roman"/>
          <w:sz w:val="22"/>
          <w:szCs w:val="22"/>
          <w:color w:val="auto"/>
        </w:rPr>
        <w:t xml:space="preserve"> are hereby deleted and replaced as follows: “5. </w:t>
      </w:r>
      <w:r>
        <w:rPr>
          <w:rFonts w:ascii="Times New Roman" w:cs="Times New Roman" w:eastAsia="Times New Roman" w:hAnsi="Times New Roman"/>
          <w:sz w:val="22"/>
          <w:szCs w:val="22"/>
          <w:u w:val="single" w:color="auto"/>
          <w:color w:val="auto"/>
        </w:rPr>
        <w:t>Coastal Balance Sheet Capacity Fee</w:t>
      </w:r>
      <w:r>
        <w:rPr>
          <w:rFonts w:ascii="Times New Roman" w:cs="Times New Roman" w:eastAsia="Times New Roman" w:hAnsi="Times New Roman"/>
          <w:sz w:val="22"/>
          <w:szCs w:val="22"/>
          <w:color w:val="auto"/>
        </w:rPr>
        <w:t>. [**].</w:t>
      </w:r>
    </w:p>
    <w:p>
      <w:pPr>
        <w:ind w:left="880" w:hanging="440"/>
        <w:spacing w:after="0"/>
        <w:tabs>
          <w:tab w:leader="none" w:pos="8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Fraud Losses and Credit Losses</w:t>
      </w:r>
      <w:r>
        <w:rPr>
          <w:rFonts w:ascii="Times New Roman" w:cs="Times New Roman" w:eastAsia="Times New Roman" w:hAnsi="Times New Roman"/>
          <w:sz w:val="22"/>
          <w:szCs w:val="22"/>
          <w:color w:val="auto"/>
        </w:rPr>
        <w:t>. [**].</w:t>
      </w:r>
    </w:p>
    <w:p>
      <w:pPr>
        <w:spacing w:after="0" w:line="23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ExtraCash Receivables</w:t>
      </w:r>
      <w:r>
        <w:rPr>
          <w:rFonts w:ascii="Times New Roman" w:cs="Times New Roman" w:eastAsia="Times New Roman" w:hAnsi="Times New Roman"/>
          <w:sz w:val="22"/>
          <w:szCs w:val="22"/>
          <w:color w:val="auto"/>
        </w:rPr>
        <w:t>. The Parties agree that Coastal shall originate and shall retain legal ownership of ExtraCash receivables that are not purchased by Dave within the applicable purchase windows. [**], provided that, Dave’s obligations are expressly limited to the performance of the Program features and shall not constitute a guarantee or surety of Coastal’s general receivables, obligations, or debts. All reimbursement obligations hereunder are commercial in nature, arising from the design of the ExtraCash program and associated Customer agreements, and shall not create fiduciary or guarantor duties between Dave and Coastal. Further, the Parties agree to document, operate, and interpret this arrangement in a manner consistent with applicable U.S. GAAP and banking regulations, ensuring clear delineation of ownership, risk, and liability.</w:t>
      </w:r>
    </w:p>
    <w:p>
      <w:pPr>
        <w:spacing w:after="0" w:line="210"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Any alteration, change, or modification of or to the Program Agreement, as amended by this First Amendment, in order to become effective, shall be made by written instrument or endorsement thereon and in each such instance executed on behalf of each party hereto.</w:t>
      </w:r>
    </w:p>
    <w:p>
      <w:pPr>
        <w:spacing w:after="0" w:line="200"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First Amendment and any documents required to be executed by the parties hereunder may be executed in several counterparts, each of which shall be deemed an original and all of which together shall constitute one and the same instrument as though all signatures appeared on one document.</w:t>
      </w:r>
    </w:p>
    <w:p>
      <w:pPr>
        <w:spacing w:after="0" w:line="200"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Provisions</w:t>
      </w:r>
      <w:r>
        <w:rPr>
          <w:rFonts w:ascii="Times New Roman" w:cs="Times New Roman" w:eastAsia="Times New Roman" w:hAnsi="Times New Roman"/>
          <w:sz w:val="22"/>
          <w:szCs w:val="22"/>
          <w:color w:val="auto"/>
        </w:rPr>
        <w:t>. To the extent that this First Amendment modifies or is inconsistent or conflicts with the Program Agreement, the terms of this First Amendment shall control. All other provisions of the Program Agreement, as amended, shall remain in full force and effect.</w:t>
      </w:r>
    </w:p>
    <w:p>
      <w:pPr>
        <w:spacing w:after="0" w:line="20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 Release of Covenants</w:t>
      </w:r>
      <w:r>
        <w:rPr>
          <w:rFonts w:ascii="Times New Roman" w:cs="Times New Roman" w:eastAsia="Times New Roman" w:hAnsi="Times New Roman"/>
          <w:sz w:val="22"/>
          <w:szCs w:val="22"/>
          <w:color w:val="auto"/>
        </w:rPr>
        <w:t>. Nothing in this First Amendment shall be interpreted to release either Party of its rights or obligations under the Program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to Follow]</w:t>
      </w:r>
    </w:p>
    <w:p>
      <w:pPr>
        <w:spacing w:after="0" w:line="200" w:lineRule="exact"/>
        <w:rPr>
          <w:sz w:val="20"/>
          <w:szCs w:val="20"/>
          <w:color w:val="auto"/>
        </w:rPr>
      </w:pPr>
    </w:p>
    <w:p>
      <w:pPr>
        <w:spacing w:after="0" w:line="235"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8"/>
          <w:szCs w:val="18"/>
          <w:color w:val="auto"/>
        </w:rPr>
        <w:t>FIRST AMENDMENT TO THE PROGRAM AGREEMENT</w:t>
      </w:r>
      <w:r>
        <w:rPr>
          <w:sz w:val="20"/>
          <w:szCs w:val="20"/>
          <w:color w:val="auto"/>
        </w:rPr>
        <w:tab/>
      </w: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spacing w:after="0" w:line="20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First Amendment to Program Agreement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on the Effective Date written above.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COASTAL COMMUNITY BANK</w:t>
      </w: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/s/ Brian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-13970</wp:posOffset>
            </wp:positionV>
            <wp:extent cx="10972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22"/>
          <w:szCs w:val="22"/>
          <w:color w:val="auto"/>
        </w:rPr>
        <w:t>By: Brian Hamilton</w:t>
      </w:r>
    </w:p>
    <w:p>
      <w:pPr>
        <w:ind w:left="520"/>
        <w:spacing w:after="0"/>
        <w:rPr>
          <w:sz w:val="20"/>
          <w:szCs w:val="20"/>
          <w:color w:val="auto"/>
        </w:rPr>
      </w:pPr>
      <w:r>
        <w:rPr>
          <w:rFonts w:ascii="Times New Roman" w:cs="Times New Roman" w:eastAsia="Times New Roman" w:hAnsi="Times New Roman"/>
          <w:sz w:val="22"/>
          <w:szCs w:val="22"/>
          <w:color w:val="auto"/>
        </w:rPr>
        <w:t>Its:  President, CCBX</w:t>
      </w: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DAVE OPERATING LLC</w:t>
      </w: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-13970</wp:posOffset>
            </wp:positionV>
            <wp:extent cx="10972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22"/>
          <w:szCs w:val="22"/>
          <w:color w:val="auto"/>
        </w:rPr>
        <w:t>By: Kyle Beilman</w:t>
      </w:r>
    </w:p>
    <w:p>
      <w:pPr>
        <w:ind w:left="520"/>
        <w:spacing w:after="0" w:line="230" w:lineRule="auto"/>
        <w:rPr>
          <w:sz w:val="20"/>
          <w:szCs w:val="20"/>
          <w:color w:val="auto"/>
        </w:rPr>
      </w:pPr>
      <w:r>
        <w:rPr>
          <w:rFonts w:ascii="Times New Roman" w:cs="Times New Roman" w:eastAsia="Times New Roman" w:hAnsi="Times New Roman"/>
          <w:sz w:val="22"/>
          <w:szCs w:val="22"/>
          <w:color w:val="auto"/>
        </w:rPr>
        <w:t>Its:  Chief Financial Officer and</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Chief Operating Officer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THE PROGRAM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56" w:lineRule="exact"/>
        <w:rPr>
          <w:sz w:val="20"/>
          <w:szCs w:val="20"/>
          <w:color w:val="auto"/>
        </w:rPr>
      </w:pPr>
    </w:p>
    <w:p>
      <w:pPr>
        <w:jc w:val="center"/>
        <w:ind w:right="40"/>
        <w:spacing w:after="0" w:line="298" w:lineRule="auto"/>
        <w:rPr>
          <w:sz w:val="20"/>
          <w:szCs w:val="20"/>
          <w:color w:val="auto"/>
        </w:rPr>
      </w:pPr>
      <w:r>
        <w:rPr>
          <w:rFonts w:ascii="Times New Roman" w:cs="Times New Roman" w:eastAsia="Times New Roman" w:hAnsi="Times New Roman"/>
          <w:sz w:val="16"/>
          <w:szCs w:val="16"/>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3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SIXTH AMENDMENT TO</w:t>
      </w:r>
    </w:p>
    <w:p>
      <w:pPr>
        <w:spacing w:after="0" w:line="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SERVICE AGREEMENT</w:t>
      </w:r>
    </w:p>
    <w:p>
      <w:pPr>
        <w:spacing w:after="0" w:line="209"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THIS SIXTH AMENDMENT TO SERVICE AGREEMENT (“Amendment”) is entered into as of August 28, 2025 (“Amendment Effective Date”), by and between </w:t>
      </w:r>
      <w:r>
        <w:rPr>
          <w:rFonts w:ascii="Times New Roman" w:cs="Times New Roman" w:eastAsia="Times New Roman" w:hAnsi="Times New Roman"/>
          <w:sz w:val="22"/>
          <w:szCs w:val="22"/>
          <w:b w:val="1"/>
          <w:bCs w:val="1"/>
          <w:color w:val="auto"/>
        </w:rPr>
        <w:t>Dave Operating LLC, f.k.a. Dave, Inc.,</w:t>
      </w:r>
      <w:r>
        <w:rPr>
          <w:rFonts w:ascii="Times New Roman" w:cs="Times New Roman" w:eastAsia="Times New Roman" w:hAnsi="Times New Roman"/>
          <w:sz w:val="22"/>
          <w:szCs w:val="22"/>
          <w:color w:val="auto"/>
        </w:rPr>
        <w:t xml:space="preserve"> a Delaware limited liability company (“Customer”), and </w:t>
      </w:r>
      <w:r>
        <w:rPr>
          <w:rFonts w:ascii="Times New Roman" w:cs="Times New Roman" w:eastAsia="Times New Roman" w:hAnsi="Times New Roman"/>
          <w:sz w:val="22"/>
          <w:szCs w:val="22"/>
          <w:b w:val="1"/>
          <w:bCs w:val="1"/>
          <w:color w:val="auto"/>
        </w:rPr>
        <w:t>Galileo Financial Technologies, LLC</w:t>
      </w:r>
      <w:r>
        <w:rPr>
          <w:rFonts w:ascii="Times New Roman" w:cs="Times New Roman" w:eastAsia="Times New Roman" w:hAnsi="Times New Roman"/>
          <w:sz w:val="22"/>
          <w:szCs w:val="22"/>
          <w:color w:val="auto"/>
        </w:rPr>
        <w:t>, a Delaware limited liability company (“Galileo”).</w:t>
      </w:r>
    </w:p>
    <w:p>
      <w:pPr>
        <w:spacing w:after="0" w:line="65" w:lineRule="exact"/>
        <w:rPr>
          <w:sz w:val="20"/>
          <w:szCs w:val="20"/>
          <w:color w:val="auto"/>
        </w:rPr>
      </w:pPr>
    </w:p>
    <w:p>
      <w:pPr>
        <w:ind w:right="140" w:firstLine="440"/>
        <w:spacing w:after="0" w:line="253" w:lineRule="auto"/>
        <w:tabs>
          <w:tab w:leader="none" w:pos="864"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and Galileo are parties to that certain Service Agreement dated March 18, 2020, as amended (“Agreement”) including by that certain First Amendment to Service Agreement dated January 21, 2023 (“First Amendment”) and that certain</w:t>
      </w:r>
    </w:p>
    <w:p>
      <w:pPr>
        <w:ind w:right="200" w:firstLine="8"/>
        <w:spacing w:after="0" w:line="237" w:lineRule="auto"/>
        <w:tabs>
          <w:tab w:leader="none" w:pos="41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Addendum dated May 8, 2025 (“[**] Addendum”). Capitalized terms used herein but not defined have the meanings given to them in the Agreement unless otherwise indicated.</w:t>
      </w:r>
    </w:p>
    <w:p>
      <w:pPr>
        <w:spacing w:after="0" w:line="70"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12.9 of the Agreement, the Agreement may be amended upon the written approval of Customer and Galileo. Customer and Galileo desire to amend the Agreement as set forth herein.</w:t>
      </w:r>
    </w:p>
    <w:p>
      <w:pPr>
        <w:spacing w:after="0" w:line="5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In consideration of the promises and covenants contained herein and other good and valuable consideration, the receipt, adequacy and sufficiency of which are hereby acknowledged, the parties mutually agree as follows:</w:t>
      </w:r>
    </w:p>
    <w:p>
      <w:pPr>
        <w:spacing w:after="0" w:line="185"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w:t>
      </w:r>
    </w:p>
    <w:p>
      <w:pPr>
        <w:spacing w:after="0" w:line="229" w:lineRule="exact"/>
        <w:rPr>
          <w:sz w:val="20"/>
          <w:szCs w:val="20"/>
          <w:color w:val="auto"/>
        </w:rPr>
      </w:pPr>
    </w:p>
    <w:p>
      <w:pPr>
        <w:ind w:left="760" w:right="620"/>
        <w:spacing w:after="0" w:line="262" w:lineRule="auto"/>
        <w:rPr>
          <w:sz w:val="20"/>
          <w:szCs w:val="20"/>
          <w:color w:val="auto"/>
        </w:rPr>
      </w:pPr>
      <w:r>
        <w:rPr>
          <w:rFonts w:ascii="Times New Roman" w:cs="Times New Roman" w:eastAsia="Times New Roman" w:hAnsi="Times New Roman"/>
          <w:sz w:val="22"/>
          <w:szCs w:val="22"/>
          <w:color w:val="auto"/>
        </w:rPr>
        <w:t xml:space="preserve">1.1Customer and Galileo hereby amend the [**] Schedule of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to the Agreement as amended by the First Amendment by inserting the following line item under the “[**]” heading:</w:t>
      </w:r>
    </w:p>
    <w:p>
      <w:pPr>
        <w:spacing w:after="0" w:line="181" w:lineRule="exact"/>
        <w:rPr>
          <w:sz w:val="20"/>
          <w:szCs w:val="20"/>
          <w:color w:val="auto"/>
        </w:rPr>
      </w:pPr>
    </w:p>
    <w:p>
      <w:pPr>
        <w:ind w:left="1500" w:hanging="369"/>
        <w:spacing w:after="0"/>
        <w:tabs>
          <w:tab w:leader="none" w:pos="1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760" w:right="20"/>
        <w:spacing w:after="0" w:line="262" w:lineRule="auto"/>
        <w:rPr>
          <w:sz w:val="20"/>
          <w:szCs w:val="20"/>
          <w:color w:val="auto"/>
        </w:rPr>
      </w:pPr>
      <w:r>
        <w:rPr>
          <w:rFonts w:ascii="Times New Roman" w:cs="Times New Roman" w:eastAsia="Times New Roman" w:hAnsi="Times New Roman"/>
          <w:sz w:val="22"/>
          <w:szCs w:val="22"/>
          <w:color w:val="auto"/>
        </w:rPr>
        <w:t xml:space="preserve">1.2Customer and Galileo hereby amend the [**] Schedule of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to the [**] Addendum by inserting the following line item under the “[**]” heading:</w:t>
      </w:r>
    </w:p>
    <w:p>
      <w:pPr>
        <w:spacing w:after="0" w:line="181" w:lineRule="exact"/>
        <w:rPr>
          <w:sz w:val="20"/>
          <w:szCs w:val="20"/>
          <w:color w:val="auto"/>
        </w:rPr>
      </w:pPr>
    </w:p>
    <w:p>
      <w:pPr>
        <w:ind w:left="1500" w:hanging="369"/>
        <w:spacing w:after="0"/>
        <w:tabs>
          <w:tab w:leader="none" w:pos="15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Galileo – Dave Sixth Amendment to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44" w:lineRule="exact"/>
        <w:rPr>
          <w:sz w:val="20"/>
          <w:szCs w:val="20"/>
          <w:color w:val="auto"/>
        </w:rPr>
      </w:pPr>
    </w:p>
    <w:p>
      <w:pPr>
        <w:ind w:right="200" w:firstLine="8"/>
        <w:spacing w:after="0" w:line="236" w:lineRule="auto"/>
        <w:tabs>
          <w:tab w:leader="none" w:pos="4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This Amendment constitutes the entire agreement between Customer and Galileo concerning the subject matter of this Amendment. Except as explicitly amended by this Amendment, all of the terms and conditions of the Agreement shall remain in full force and effect. This Amendment may be executed in any number of counterparts, each of which when so executed and delivered shall be deemed an original and all of which counterparts, taken together, shall constitute one and the same instrument. Delivery of an executed counterpart of this Amendment by telefacsimile shall be equally as effective as delivery of an original executed counterpart of this Amendment.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Galileo – Dave Sixth Amendment to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5" w:name="page66"/>
    <w:bookmarkEnd w:id="65"/>
    <w:p>
      <w:pPr>
        <w:spacing w:after="0" w:line="181"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hereby acknowledge and certify that as of the Amendment Effective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they are duly authorized to sign on behalf of and legally bind the applicable entity named below by executing this Amendment.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80" w:type="dxa"/>
            <w:vAlign w:val="bottom"/>
            <w:gridSpan w:val="6"/>
          </w:tcPr>
          <w:p>
            <w:pPr>
              <w:ind w:left="120"/>
              <w:spacing w:after="0"/>
              <w:rPr>
                <w:sz w:val="20"/>
                <w:szCs w:val="20"/>
                <w:color w:val="auto"/>
              </w:rPr>
            </w:pPr>
            <w:r>
              <w:rPr>
                <w:rFonts w:ascii="Times New Roman" w:cs="Times New Roman" w:eastAsia="Times New Roman" w:hAnsi="Times New Roman"/>
                <w:sz w:val="22"/>
                <w:szCs w:val="22"/>
                <w:b w:val="1"/>
                <w:bCs w:val="1"/>
                <w:color w:val="auto"/>
              </w:rPr>
              <w:t>Dave Operating LLC, f.k.a Dave, Inc.:</w:t>
            </w:r>
          </w:p>
        </w:tc>
        <w:tc>
          <w:tcPr>
            <w:tcW w:w="6560" w:type="dxa"/>
            <w:vAlign w:val="bottom"/>
            <w:gridSpan w:val="6"/>
          </w:tcPr>
          <w:p>
            <w:pPr>
              <w:ind w:left="1040"/>
              <w:spacing w:after="0"/>
              <w:rPr>
                <w:sz w:val="20"/>
                <w:szCs w:val="20"/>
                <w:color w:val="auto"/>
              </w:rPr>
            </w:pPr>
            <w:r>
              <w:rPr>
                <w:rFonts w:ascii="Times New Roman" w:cs="Times New Roman" w:eastAsia="Times New Roman" w:hAnsi="Times New Roman"/>
                <w:sz w:val="22"/>
                <w:szCs w:val="22"/>
                <w:b w:val="1"/>
                <w:bCs w:val="1"/>
                <w:color w:val="auto"/>
              </w:rPr>
              <w:t>Galileo Financial Technologies, LLC:</w:t>
            </w:r>
          </w:p>
        </w:tc>
      </w:tr>
      <w:tr>
        <w:trPr>
          <w:trHeight w:val="677"/>
        </w:trPr>
        <w:tc>
          <w:tcPr>
            <w:tcW w:w="468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By: /s/ Kyle Beilman</w:t>
            </w:r>
          </w:p>
        </w:tc>
        <w:tc>
          <w:tcPr>
            <w:tcW w:w="6560" w:type="dxa"/>
            <w:vAlign w:val="bottom"/>
            <w:gridSpan w:val="6"/>
          </w:tcPr>
          <w:p>
            <w:pPr>
              <w:ind w:left="1040"/>
              <w:spacing w:after="0"/>
              <w:rPr>
                <w:sz w:val="20"/>
                <w:szCs w:val="20"/>
                <w:color w:val="auto"/>
              </w:rPr>
            </w:pPr>
            <w:r>
              <w:rPr>
                <w:rFonts w:ascii="Times New Roman" w:cs="Times New Roman" w:eastAsia="Times New Roman" w:hAnsi="Times New Roman"/>
                <w:sz w:val="22"/>
                <w:szCs w:val="22"/>
                <w:color w:val="auto"/>
              </w:rPr>
              <w:t>By: /s/ William Kennedy</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66"/>
        </w:trPr>
        <w:tc>
          <w:tcPr>
            <w:tcW w:w="468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Name: Kyle Beilman</w:t>
            </w:r>
          </w:p>
        </w:tc>
        <w:tc>
          <w:tcPr>
            <w:tcW w:w="6560" w:type="dxa"/>
            <w:vAlign w:val="bottom"/>
            <w:gridSpan w:val="6"/>
          </w:tcPr>
          <w:p>
            <w:pPr>
              <w:ind w:left="1040"/>
              <w:spacing w:after="0"/>
              <w:rPr>
                <w:sz w:val="20"/>
                <w:szCs w:val="20"/>
                <w:color w:val="auto"/>
              </w:rPr>
            </w:pPr>
            <w:r>
              <w:rPr>
                <w:rFonts w:ascii="Times New Roman" w:cs="Times New Roman" w:eastAsia="Times New Roman" w:hAnsi="Times New Roman"/>
                <w:sz w:val="22"/>
                <w:szCs w:val="22"/>
                <w:color w:val="auto"/>
              </w:rPr>
              <w:t>Name: William Kennedy</w:t>
            </w:r>
          </w:p>
        </w:tc>
      </w:tr>
      <w:tr>
        <w:trPr>
          <w:trHeight w:val="20"/>
        </w:trPr>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66"/>
        </w:trPr>
        <w:tc>
          <w:tcPr>
            <w:tcW w:w="468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Its: Chief Financial Officer</w:t>
            </w:r>
          </w:p>
        </w:tc>
        <w:tc>
          <w:tcPr>
            <w:tcW w:w="6560" w:type="dxa"/>
            <w:vAlign w:val="bottom"/>
            <w:gridSpan w:val="6"/>
          </w:tcPr>
          <w:p>
            <w:pPr>
              <w:ind w:left="1040"/>
              <w:spacing w:after="0"/>
              <w:rPr>
                <w:sz w:val="20"/>
                <w:szCs w:val="20"/>
                <w:color w:val="auto"/>
              </w:rPr>
            </w:pPr>
            <w:r>
              <w:rPr>
                <w:rFonts w:ascii="Times New Roman" w:cs="Times New Roman" w:eastAsia="Times New Roman" w:hAnsi="Times New Roman"/>
                <w:sz w:val="22"/>
                <w:szCs w:val="22"/>
                <w:color w:val="auto"/>
              </w:rPr>
              <w:t>Its: Chief Financial Officer</w:t>
            </w:r>
          </w:p>
        </w:tc>
      </w:tr>
      <w:tr>
        <w:trPr>
          <w:trHeight w:val="2431"/>
        </w:trPr>
        <w:tc>
          <w:tcPr>
            <w:tcW w:w="440" w:type="dxa"/>
            <w:vAlign w:val="bottom"/>
            <w:tcBorders>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54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Wilk,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7" w:name="page68"/>
    <w:bookmarkEnd w:id="6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Beilman, certify that:</w:t>
      </w:r>
    </w:p>
    <w:p>
      <w:pPr>
        <w:spacing w:after="0" w:line="11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00" w:lineRule="exact"/>
        <w:rPr>
          <w:sz w:val="20"/>
          <w:szCs w:val="20"/>
          <w:color w:val="auto"/>
        </w:rPr>
      </w:pPr>
    </w:p>
    <w:p>
      <w:pPr>
        <w:spacing w:after="0" w:line="2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undersigned, Jason Wilk, Chief Executive Officer, and Kyle Beilman, Chief Financial Officer and Chief Operating Officer of Dave Inc. (the “Company”), hereby certify as of the date hereof, solely for the purposes of 18 U.S.C. §1350, that:</w:t>
      </w:r>
    </w:p>
    <w:p>
      <w:pPr>
        <w:spacing w:after="0" w:line="54" w:lineRule="exact"/>
        <w:rPr>
          <w:sz w:val="20"/>
          <w:szCs w:val="20"/>
          <w:color w:val="auto"/>
        </w:rPr>
      </w:pPr>
    </w:p>
    <w:p>
      <w:pPr>
        <w:ind w:left="1020" w:right="6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September 30, 2025 of the Company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22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Roman"/>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lowerRoman"/>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lvl w:ilvl="1">
      <w:lvlJc w:val="left"/>
      <w:lvlText w:val="%2"/>
      <w:numFmt w:val="decimal"/>
      <w:start w:val="104"/>
    </w:lvl>
  </w:abstractNum>
  <w:abstractNum w:abstractNumId="19">
    <w:nsid w:val="189A769B"/>
    <w:multiLevelType w:val="hybridMultilevel"/>
    <w:lvl w:ilvl="0">
      <w:lvlJc w:val="left"/>
      <w:lvlText w:val="%1."/>
      <w:numFmt w:val="upperLetter"/>
      <w:start w:val="1"/>
    </w:lvl>
    <w:lvl w:ilvl="1">
      <w:lvlJc w:val="left"/>
      <w:lvlText w:val="%2."/>
      <w:numFmt w:val="upperLetter"/>
      <w:start w:val="2"/>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3"/>
    </w:lvl>
  </w:abstractNum>
  <w:abstractNum w:abstractNumId="23">
    <w:nsid w:val="836C40E"/>
    <w:multiLevelType w:val="hybridMultilevel"/>
    <w:lvl w:ilvl="0">
      <w:lvlJc w:val="left"/>
      <w:lvlText w:val="%1"/>
      <w:numFmt w:val="decimal"/>
      <w:start w:val="1"/>
    </w:lvl>
    <w:lvl w:ilvl="1">
      <w:lvlJc w:val="left"/>
      <w:lvlText w:val="%2."/>
      <w:numFmt w:val="decimal"/>
      <w:start w:val="5"/>
    </w:lvl>
  </w:abstractNum>
  <w:abstractNum w:abstractNumId="24">
    <w:nsid w:val="2901D82"/>
    <w:multiLevelType w:val="hybridMultilevel"/>
    <w:lvl w:ilvl="0">
      <w:lvlJc w:val="left"/>
      <w:lvlText w:val="%1."/>
      <w:numFmt w:val="decimal"/>
      <w:start w:val="6"/>
    </w:lvl>
    <w:lvl w:ilvl="1">
      <w:lvlJc w:val="left"/>
      <w:lvlText w:val="%2."/>
      <w:numFmt w:val="decimal"/>
      <w:start w:val="6"/>
    </w:lvl>
  </w:abstractNum>
  <w:abstractNum w:abstractNumId="25">
    <w:nsid w:val="3A95F874"/>
    <w:multiLevelType w:val="hybridMultilevel"/>
    <w:lvl w:ilvl="0">
      <w:lvlJc w:val="left"/>
      <w:lvlText w:val="[**]"/>
      <w:numFmt w:val="bullet"/>
      <w:start w:val="1"/>
    </w:lvl>
    <w:lvl w:ilvl="1">
      <w:lvlJc w:val="left"/>
      <w:lvlText w:val="%2."/>
      <w:numFmt w:val="upperLetter"/>
      <w:start w:val="1"/>
    </w:lvl>
    <w:lvl w:ilvl="2">
      <w:lvlJc w:val="left"/>
      <w:lvlText w:val="%3."/>
      <w:numFmt w:val="upperLetter"/>
      <w:start w:val="2"/>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2"/>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2025-11-04T15:47:47Z</dcterms:created>
  <dcterms:modified xsi:type="dcterms:W3CDTF">2025-11-04T15:47:47Z</dcterms:modified>
</cp:coreProperties>
</file>