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sz w:val="20"/>
        </w:rPr>
      </w:pPr>
      <w:bookmarkStart w:id="0" w:name="dave-20240630.htm"/>
      <w:bookmarkStart w:id="1" w:name="ksdave20240630"/>
      <w:bookmarkEnd w:id="0"/>
      <w:bookmarkEnd w:id="1"/>
      <w:r>
        <w:rPr>
          <w:rFonts w:ascii="Times New Roman" w:hAnsi="Times New Roman"/>
          <w:b/>
          <w:color w:val="000000"/>
          <w:sz w:val="35"/>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Washington, D.C. 20549</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5"/>
        </w:rPr>
        <w:t>Form 10-Q</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For the quarterly period ended June 30, 2024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4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For the transition period from to _______</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001-40161</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48"/>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tbl>
      <w:tblPr>
        <w:tblW w:w="3722" w:type="dxa"/>
        <w:jc w:val="left"/>
        <w:tblInd w:w="0" w:type="dxa"/>
        <w:tblLayout w:type="fixed"/>
        <w:tblCellMar>
          <w:top w:w="28" w:type="dxa"/>
          <w:left w:w="28" w:type="dxa"/>
          <w:bottom w:w="28" w:type="dxa"/>
          <w:right w:w="28" w:type="dxa"/>
        </w:tblCellMar>
      </w:tblPr>
      <w:tblGrid>
        <w:gridCol w:w="2431"/>
        <w:gridCol w:w="1291"/>
      </w:tblGrid>
      <w:tr>
        <w:trPr/>
        <w:tc>
          <w:tcPr>
            <w:tcW w:w="243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9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86-1481509</w:t>
            </w:r>
          </w:p>
        </w:tc>
      </w:tr>
      <w:tr>
        <w:trPr/>
        <w:tc>
          <w:tcPr>
            <w:tcW w:w="2431" w:type="dxa"/>
            <w:tcBorders/>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(State or other jurisdiction of</w:t>
              <w:br/>
              <w:t>incorporation or organization)</w:t>
            </w:r>
            <w:r>
              <w:rPr>
                <w:rFonts w:ascii="Times New Roman" w:hAnsi="Times New Roman"/>
                <w:color w:val="000000"/>
                <w:sz w:val="16"/>
              </w:rPr>
              <w:t xml:space="preserve"> </w:t>
            </w:r>
          </w:p>
        </w:tc>
        <w:tc>
          <w:tcPr>
            <w:tcW w:w="1291" w:type="dxa"/>
            <w:tcBorders/>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(I.R.S. Employer</w:t>
              <w:br/>
              <w:t>Identification No.)</w:t>
            </w:r>
            <w:r>
              <w:rPr>
                <w:rFonts w:ascii="Times New Roman" w:hAnsi="Times New Roman"/>
                <w:color w:val="000000"/>
                <w:sz w:val="16"/>
              </w:rPr>
              <w:t xml:space="preserve"> </w:t>
            </w:r>
          </w:p>
        </w:tc>
      </w:tr>
      <w:tr>
        <w:trPr/>
        <w:tc>
          <w:tcPr>
            <w:tcW w:w="2431" w:type="dxa"/>
            <w:tcBorders/>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20"/>
              </w:rPr>
              <w:t>1265 South Cochran Ave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Angeles, CA</w:t>
            </w:r>
          </w:p>
        </w:tc>
        <w:tc>
          <w:tcPr>
            <w:tcW w:w="129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90019</w:t>
            </w:r>
          </w:p>
        </w:tc>
      </w:tr>
      <w:tr>
        <w:trPr/>
        <w:tc>
          <w:tcPr>
            <w:tcW w:w="243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9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(844) 857-3283</w:t>
      </w:r>
      <w:r>
        <w:rPr>
          <w:rFonts w:ascii="Times New Roman" w:hAnsi="Times New Roman"/>
          <w:color w:val="000000"/>
          <w:sz w:val="20"/>
        </w:rPr>
        <w:t xml:space="preserve"> </w:t>
      </w:r>
    </w:p>
    <w:p>
      <w:pPr>
        <w:pStyle w:val="TextBody"/>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557"/>
        <w:gridCol w:w="1175"/>
        <w:gridCol w:w="2473"/>
      </w:tblGrid>
      <w:tr>
        <w:trPr/>
        <w:tc>
          <w:tcPr>
            <w:tcW w:w="655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r>
      <w:tr>
        <w:trPr/>
        <w:tc>
          <w:tcPr>
            <w:tcW w:w="6557"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175"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2473"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557"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2473" w:type="dxa"/>
            <w:tcBorders/>
            <w:vAlign w:val="center"/>
          </w:tcPr>
          <w:p>
            <w:pPr>
              <w:pStyle w:val="TableContents"/>
              <w:bidi w:val="0"/>
              <w:spacing w:before="0" w:after="283"/>
              <w:jc w:val="left"/>
              <w:rPr/>
            </w:pPr>
            <w:r>
              <w:rPr/>
              <w:t> </w:t>
            </w:r>
          </w:p>
        </w:tc>
      </w:tr>
      <w:tr>
        <w:trPr/>
        <w:tc>
          <w:tcPr>
            <w:tcW w:w="6557"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 par value $0.0001</w:t>
            </w:r>
          </w:p>
        </w:tc>
        <w:tc>
          <w:tcPr>
            <w:tcW w:w="1175"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t>
            </w:r>
          </w:p>
        </w:tc>
        <w:tc>
          <w:tcPr>
            <w:tcW w:w="2473"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557"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warrants, each whole warrant exercisable for one share of Class A common stock, each at an exercise price of $368 per share</w:t>
            </w:r>
          </w:p>
        </w:tc>
        <w:tc>
          <w:tcPr>
            <w:tcW w:w="1175"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w:t>
            </w:r>
          </w:p>
        </w:tc>
        <w:tc>
          <w:tcPr>
            <w:tcW w:w="2473"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w:t>
      </w:r>
      <w:r>
        <w:rPr>
          <w:rFonts w:ascii="Times New Roman" w:hAnsi="Times New Roman"/>
          <w:caps/>
          <w:color w:val="000000"/>
          <w:sz w:val="18"/>
        </w:rPr>
        <w:t>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w:t>
      </w:r>
      <w:r>
        <w:rPr>
          <w:rFonts w:ascii="Times New Roman" w:hAnsi="Times New Roman"/>
          <w:caps/>
          <w:color w:val="000000"/>
          <w:sz w:val="18"/>
        </w:rPr>
        <w:t>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As of July 26, 2024 there were 11,155,158</w:t>
      </w:r>
      <w:r>
        <w:rPr>
          <w:rFonts w:ascii="Times New Roman" w:hAnsi="Times New Roman"/>
          <w:color w:val="000000"/>
          <w:sz w:val="20"/>
        </w:rPr>
        <w:t xml:space="preserve"> </w:t>
      </w:r>
      <w:r>
        <w:rPr>
          <w:rFonts w:ascii="Times New Roman" w:hAnsi="Times New Roman"/>
          <w:color w:val="000000"/>
          <w:sz w:val="18"/>
        </w:rPr>
        <w:t>shares of Class A common stock, $0.0001 par value, and 1,514,082</w:t>
      </w:r>
      <w:r>
        <w:rPr>
          <w:rFonts w:ascii="Times New Roman" w:hAnsi="Times New Roman"/>
          <w:color w:val="000000"/>
          <w:sz w:val="20"/>
        </w:rPr>
        <w:t xml:space="preserve"> </w:t>
      </w:r>
      <w:r>
        <w:rPr>
          <w:rFonts w:ascii="Times New Roman" w:hAnsi="Times New Roman"/>
          <w:color w:val="000000"/>
          <w:sz w:val="18"/>
        </w:rPr>
        <w:t>shares of Class V common stock, $0.0001 par value, issued and outstanding.</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center"/>
        <w:rPr/>
      </w:pPr>
      <w:r>
        <w:rPr/>
        <w:t> </w:t>
      </w:r>
    </w:p>
    <w:tbl>
      <w:tblPr>
        <w:tblW w:w="8853" w:type="dxa"/>
        <w:jc w:val="left"/>
        <w:tblInd w:w="0" w:type="dxa"/>
        <w:tblLayout w:type="fixed"/>
        <w:tblCellMar>
          <w:top w:w="28" w:type="dxa"/>
          <w:left w:w="28" w:type="dxa"/>
          <w:bottom w:w="28" w:type="dxa"/>
          <w:right w:w="28" w:type="dxa"/>
        </w:tblCellMar>
      </w:tblPr>
      <w:tblGrid>
        <w:gridCol w:w="976"/>
        <w:gridCol w:w="7336"/>
        <w:gridCol w:w="541"/>
      </w:tblGrid>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b/>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financialstatements">
              <w:r>
                <w:rPr>
                  <w:rStyle w:val="InternetLink"/>
                  <w:rFonts w:ascii="Times New Roman" w:hAnsi="Times New Roman"/>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balancesheet">
              <w:r>
                <w:rPr>
                  <w:rStyle w:val="InternetLink"/>
                  <w:rFonts w:ascii="Times New Roman" w:hAnsi="Times New Roman"/>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balancesheet_daveodfunding">
              <w:r>
                <w:rPr>
                  <w:rStyle w:val="InternetLink"/>
                  <w:rFonts w:ascii="Times New Roman" w:hAnsi="Times New Roman"/>
                  <w:color w:val="0000FF"/>
                  <w:sz w:val="20"/>
                  <w:u w:val="single"/>
                </w:rPr>
                <w:t>Condensed Consolidated Balance Sheets, Continued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7" w:after="283"/>
              <w:jc w:val="left"/>
              <w:rPr/>
            </w:pPr>
            <w:hyperlink w:anchor="statementsofoperatrions">
              <w:r>
                <w:rPr>
                  <w:rStyle w:val="InternetLink"/>
                  <w:rFonts w:ascii="Times New Roman" w:hAnsi="Times New Roman"/>
                  <w:color w:val="0000FF"/>
                  <w:sz w:val="20"/>
                  <w:u w:val="single"/>
                </w:rPr>
                <w:t>Condensed Consolidated Statements of Operations</w:t>
              </w:r>
            </w:hyperlink>
          </w:p>
        </w:tc>
        <w:tc>
          <w:tcPr>
            <w:tcW w:w="541" w:type="dxa"/>
            <w:tcBorders/>
            <w:tcMar>
              <w:top w:w="0" w:type="dxa"/>
              <w:left w:w="0" w:type="dxa"/>
              <w:bottom w:w="0" w:type="dxa"/>
              <w:right w:w="0" w:type="dxa"/>
            </w:tcMar>
            <w:vAlign w:val="center"/>
          </w:tcPr>
          <w:p>
            <w:pPr>
              <w:pStyle w:val="TableContents"/>
              <w:bidi w:val="0"/>
              <w:spacing w:before="7"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ofcomprehensiveloss">
              <w:r>
                <w:rPr>
                  <w:rStyle w:val="InternetLink"/>
                  <w:rFonts w:ascii="Times New Roman" w:hAnsi="Times New Roman"/>
                  <w:color w:val="0000FF"/>
                  <w:sz w:val="20"/>
                  <w:u w:val="single"/>
                </w:rPr>
                <w:t>Condensed Consolidated Statements of Comprehensive Income (loss)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stockholdersequity">
              <w:r>
                <w:rPr>
                  <w:rStyle w:val="InternetLink"/>
                  <w:rFonts w:ascii="Times New Roman" w:hAnsi="Times New Roman"/>
                  <w:color w:val="0000FF"/>
                  <w:sz w:val="20"/>
                  <w:u w:val="single"/>
                </w:rPr>
                <w:t>Condensed Consolidated Statement of Stockholders’ Equity</w:t>
              </w:r>
            </w:hyperlink>
            <w:hyperlink w:anchor="consolidatedstatementstockholdersequity">
              <w:r>
                <w:rPr>
                  <w:rStyle w:val="InternetLink"/>
                  <w:rFonts w:ascii="Times New Roman" w:hAnsi="Times New Roman"/>
                  <w:color w:val="0000FF"/>
                  <w:sz w:val="20"/>
                </w:rPr>
                <w:t xml:space="preserve"> </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sofcashflows">
              <w:r>
                <w:rPr>
                  <w:rStyle w:val="InternetLink"/>
                  <w:rFonts w:ascii="Times New Roman" w:hAnsi="Times New Roman"/>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notestoconsolidatedfinancialstatements">
              <w:r>
                <w:rPr>
                  <w:rStyle w:val="InternetLink"/>
                  <w:rFonts w:ascii="Times New Roman" w:hAnsi="Times New Roman"/>
                  <w:color w:val="0000FF"/>
                  <w:sz w:val="20"/>
                  <w:u w:val="single"/>
                </w:rPr>
                <w:t>Notes to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3_quantitativeandqualitative">
              <w:r>
                <w:rPr>
                  <w:rStyle w:val="InternetLink"/>
                  <w:rFonts w:ascii="Times New Roman" w:hAnsi="Times New Roman"/>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4_controlsandprocedures">
              <w:r>
                <w:rPr>
                  <w:rStyle w:val="InternetLink"/>
                  <w:rFonts w:ascii="Times New Roman" w:hAnsi="Times New Roman"/>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partii_other_information">
              <w:r>
                <w:rPr>
                  <w:rStyle w:val="InternetLink"/>
                  <w:rFonts w:ascii="Times New Roman" w:hAnsi="Times New Roman"/>
                  <w:b/>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1_legalproceedings">
              <w:r>
                <w:rPr>
                  <w:rStyle w:val="InternetLink"/>
                  <w:rFonts w:ascii="Times New Roman" w:hAnsi="Times New Roman"/>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1a_riskfactors">
              <w:r>
                <w:rPr>
                  <w:rStyle w:val="InternetLink"/>
                  <w:rFonts w:ascii="Times New Roman" w:hAnsi="Times New Roman"/>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2_unregisteredsalesofequity">
              <w:r>
                <w:rPr>
                  <w:rStyle w:val="InternetLink"/>
                  <w:rFonts w:ascii="Times New Roman" w:hAnsi="Times New Roman"/>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3_defaultsuponseniorsecurities">
              <w:r>
                <w:rPr>
                  <w:rStyle w:val="InternetLink"/>
                  <w:rFonts w:ascii="Times New Roman" w:hAnsi="Times New Roman"/>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4_minesafetydisclosures">
              <w:r>
                <w:rPr>
                  <w:rStyle w:val="InternetLink"/>
                  <w:rFonts w:ascii="Times New Roman" w:hAnsi="Times New Roman"/>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5_otherinformation">
              <w:r>
                <w:rPr>
                  <w:rStyle w:val="InternetLink"/>
                  <w:rFonts w:ascii="Times New Roman" w:hAnsi="Times New Roman"/>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All statements contained in this Form 10-Q other than statements of historical fact, including statements regarding our future results of operations, financial position, market size and opportunity, our business strategy and plans, the factors affecting our performance, our objectives for future operations, our liquidity, borrowing capacity, our use of cash and cash requirements and the expected effects of new accounting pronouncements,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2023 filed with the Securities and Exchange Commission (the “SEC”) on March 5, 2024 (the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10-Q may not occur, and actual results could differ materially and adversely from those anticipated or implied in the forward-looking statements. Forward-looking statements contained in this Form 10-Q involve a number of judgments, risks and uncertainties, including, without limitation, risks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Dave to compete in its highly competitive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keep pace with the rapid technological developments in its industry and the larger financial services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manage risks associated with providing ExtraCash advances;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retain its current members, acquire new members and sell additional functionality and services to its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protect intellectual property and trade secrets;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maintain the integrity of its confidential information and information systems or comply with applicable privacy and data security requirements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reliance by Dave on a single bank partner, and the ability of Dave to maintain or secure current and future key banking relationships and other third-party service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applicable laws or regulations and extensive and evolving government regulations that impact operations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attract or maintain a qualified workforce;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product service failures that could lead Dave members (“Members”) to use competitors’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investigations, claims, disputes, enforcement actions, litigation and/or other regulatory or legal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maintain the listing of Dave Class A Common Stock on The Nasdaq Stock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that Dave may be adversely affected by other economic factors, including rising interest rates, and business, and/or competitive factors;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other risks and uncertainties described in this Form 10-Q, including those described under Part II Item 1A, “Risk Factors”.</w:t>
      </w:r>
    </w:p>
    <w:p>
      <w:pPr>
        <w:pStyle w:val="TextBody"/>
        <w:bidi w:val="0"/>
        <w:jc w:val="left"/>
        <w:rPr>
          <w:rFonts w:ascii="Times New Roman" w:hAnsi="Times New Roman"/>
          <w:color w:val="000000"/>
          <w:sz w:val="20"/>
        </w:rPr>
      </w:pPr>
      <w:r>
        <w:rPr>
          <w:rFonts w:ascii="Times New Roman" w:hAnsi="Times New Roman"/>
          <w:color w:val="000000"/>
          <w:sz w:val="20"/>
        </w:rPr>
        <w:t xml:space="preserve">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Except as required by law, we do not intend to update any of these forward-looking statements after the date of this report or to conform these statements to actual results or revised expectations.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 should read this report with the understanding that our actual future results, levels of activity, performance and events and circumstances may be materially different from what we expect. </w:t>
      </w:r>
    </w:p>
    <w:p>
      <w:pPr>
        <w:pStyle w:val="TextBody"/>
        <w:bidi w:val="0"/>
        <w:jc w:val="left"/>
        <w:rPr>
          <w:rFonts w:ascii="Times New Roman" w:hAnsi="Times New Roman"/>
          <w:color w:val="000000"/>
          <w:sz w:val="20"/>
        </w:rPr>
      </w:pPr>
      <w:r>
        <w:rPr>
          <w:rFonts w:ascii="Times New Roman" w:hAnsi="Times New Roman"/>
          <w:color w:val="000000"/>
          <w:sz w:val="20"/>
        </w:rPr>
        <w:t xml:space="preserve">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 </w:t>
      </w:r>
    </w:p>
    <w:p>
      <w:pPr>
        <w:pStyle w:val="TextBody"/>
        <w:bidi w:val="0"/>
        <w:jc w:val="left"/>
        <w:rPr>
          <w:rFonts w:ascii="Times New Roman" w:hAnsi="Times New Roman"/>
          <w:i/>
          <w:color w:val="000000"/>
          <w:sz w:val="20"/>
        </w:rPr>
      </w:pPr>
      <w:r>
        <w:rPr>
          <w:rFonts w:ascii="Times New Roman" w:hAnsi="Times New Roman"/>
          <w:i/>
          <w:color w:val="000000"/>
          <w:sz w:val="20"/>
        </w:rPr>
        <w:t>As used in this report, the “Company,” “Dave,” “we,” “us,” “our” and similar terms refer to Dave Inc. (f/k/a VPC Impact Acquisition Holdings III, Inc.) and its consolidated subsidiaries, unless otherwise noted or the context otherwise requires.</w:t>
      </w:r>
    </w:p>
    <w:p>
      <w:pPr>
        <w:pStyle w:val="TextBody"/>
        <w:bidi w:val="0"/>
        <w:jc w:val="left"/>
        <w:rPr>
          <w:rFonts w:ascii="Times New Roman" w:hAnsi="Times New Roman"/>
          <w:sz w:val="20"/>
        </w:rPr>
      </w:pPr>
      <w:r>
        <w:rPr>
          <w:rFonts w:ascii="Times New Roman" w:hAnsi="Times New Roman"/>
          <w:i/>
          <w:color w:val="000000"/>
          <w:sz w:val="20"/>
        </w:rPr>
        <w:br/>
      </w:r>
      <w:r>
        <w:rPr>
          <w:rFonts w:ascii="Times New Roman" w:hAnsi="Times New Roman"/>
          <w:color w:val="000000"/>
          <w:sz w:val="20"/>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1_financial_information"/>
      <w:bookmarkEnd w:id="2"/>
      <w:r>
        <w:rPr>
          <w:rFonts w:ascii="Times New Roman" w:hAnsi="Times New Roman"/>
          <w:b/>
          <w:color w:val="000000"/>
          <w:sz w:val="20"/>
        </w:rPr>
        <w:t>PART I—FINANCIAL INFORMATION</w:t>
      </w:r>
    </w:p>
    <w:p>
      <w:pPr>
        <w:pStyle w:val="TextBody"/>
        <w:bidi w:val="0"/>
        <w:jc w:val="left"/>
        <w:rPr>
          <w:rFonts w:ascii="Times New Roman" w:hAnsi="Times New Roman"/>
          <w:sz w:val="20"/>
        </w:rPr>
      </w:pPr>
      <w:bookmarkStart w:id="3" w:name="item_1_financial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sheet"/>
      <w:bookmarkEnd w:id="4"/>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03"/>
        <w:gridCol w:w="146"/>
        <w:gridCol w:w="222"/>
        <w:gridCol w:w="886"/>
        <w:gridCol w:w="166"/>
        <w:gridCol w:w="146"/>
        <w:gridCol w:w="245"/>
        <w:gridCol w:w="978"/>
        <w:gridCol w:w="513"/>
      </w:tblGrid>
      <w:tr>
        <w:trPr/>
        <w:tc>
          <w:tcPr>
            <w:tcW w:w="6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69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08" w:type="dxa"/>
            <w:gridSpan w:val="2"/>
            <w:tcBorders/>
            <w:shd w:fill="FFFFFF" w:val="cle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As of June 30,</w:t>
              <w:br/>
              <w:t>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3" w:type="dxa"/>
            <w:gridSpan w:val="2"/>
            <w:tcBorders/>
            <w:shd w:fill="FFFFFF" w:val="cle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As of December 31,</w:t>
            </w:r>
          </w:p>
        </w:tc>
        <w:tc>
          <w:tcPr>
            <w:tcW w:w="513" w:type="dxa"/>
            <w:tcBorders/>
            <w:shd w:fill="FFFFFF" w:val="clear"/>
            <w:vAlign w:val="center"/>
          </w:tcPr>
          <w:p>
            <w:pPr>
              <w:pStyle w:val="TableContents"/>
              <w:bidi w:val="0"/>
              <w:spacing w:before="0" w:after="283"/>
              <w:jc w:val="center"/>
              <w:rPr/>
            </w:pPr>
            <w:r>
              <w:rPr/>
              <w:t> </w:t>
            </w:r>
          </w:p>
        </w:tc>
      </w:tr>
      <w:tr>
        <w:trPr/>
        <w:tc>
          <w:tcPr>
            <w:tcW w:w="69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9"/>
              </w:rPr>
            </w:pPr>
            <w:r>
              <w:rPr>
                <w:rFonts w:ascii="Times New Roman" w:hAnsi="Times New Roman"/>
                <w:i/>
                <w:color w:val="000000"/>
                <w:sz w:val="19"/>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2023</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3" w:type="dxa"/>
            <w:tcBorders/>
            <w:shd w:fill="B7DEE8"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B7DEE8" w:val="clear"/>
            <w:vAlign w:val="center"/>
          </w:tcPr>
          <w:p>
            <w:pPr>
              <w:pStyle w:val="TableContents"/>
              <w:bidi w:val="0"/>
              <w:spacing w:before="0" w:after="283"/>
              <w:jc w:val="left"/>
              <w:rPr/>
            </w:pPr>
            <w:r>
              <w:rPr/>
              <w:t> </w:t>
            </w:r>
          </w:p>
        </w:tc>
        <w:tc>
          <w:tcPr>
            <w:tcW w:w="1108"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23" w:type="dxa"/>
            <w:gridSpan w:val="2"/>
            <w:tcBorders/>
            <w:shd w:fill="B7DEE8" w:val="clear"/>
            <w:vAlign w:val="center"/>
          </w:tcPr>
          <w:p>
            <w:pPr>
              <w:pStyle w:val="TableContents"/>
              <w:bidi w:val="0"/>
              <w:spacing w:before="0" w:after="283"/>
              <w:jc w:val="left"/>
              <w:rPr/>
            </w:pPr>
            <w:r>
              <w:rPr/>
              <w:t> </w:t>
            </w:r>
          </w:p>
        </w:tc>
        <w:tc>
          <w:tcPr>
            <w:tcW w:w="513" w:type="dxa"/>
            <w:tcBorders/>
            <w:shd w:fill="B7DEE8" w:val="clear"/>
            <w:vAlign w:val="center"/>
          </w:tcPr>
          <w:p>
            <w:pPr>
              <w:pStyle w:val="TableContents"/>
              <w:bidi w:val="0"/>
              <w:spacing w:before="0" w:after="283"/>
              <w:jc w:val="left"/>
              <w:rPr/>
            </w:pPr>
            <w:r>
              <w:rPr/>
              <w:t> </w:t>
            </w:r>
          </w:p>
        </w:tc>
      </w:tr>
      <w:tr>
        <w:trPr/>
        <w:tc>
          <w:tcPr>
            <w:tcW w:w="6903"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Current assets:</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6"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48,600</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shd w:fill="B7DEE8"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7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41,759</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952</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Member advances, net of allowance for credit losses of $20,493</w:t>
            </w:r>
            <w:r>
              <w:rPr>
                <w:rFonts w:ascii="Times New Roman" w:hAnsi="Times New Roman"/>
                <w:color w:val="000000"/>
                <w:sz w:val="20"/>
              </w:rPr>
              <w:t> </w:t>
            </w:r>
            <w:r>
              <w:rPr>
                <w:rFonts w:ascii="Times New Roman" w:hAnsi="Times New Roman"/>
                <w:color w:val="000000"/>
                <w:sz w:val="19"/>
              </w:rPr>
              <w:t>and $20,310</w:t>
            </w:r>
            <w:r>
              <w:rPr>
                <w:rFonts w:ascii="Times New Roman" w:hAnsi="Times New Roman"/>
                <w:color w:val="000000"/>
                <w:sz w:val="20"/>
              </w:rPr>
              <w:t> </w:t>
            </w:r>
            <w:r>
              <w:rPr>
                <w:rFonts w:ascii="Times New Roman" w:hAnsi="Times New Roman"/>
                <w:color w:val="000000"/>
                <w:sz w:val="19"/>
              </w:rPr>
              <w:t>as of June 30, 2024 and December 31, 2023, respectively</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886"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127,759</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shd w:fill="B7DEE8" w:val="clear"/>
            <w:vAlign w:val="center"/>
          </w:tcPr>
          <w:p>
            <w:pPr>
              <w:pStyle w:val="TableContents"/>
              <w:bidi w:val="0"/>
              <w:spacing w:before="0" w:after="283"/>
              <w:jc w:val="left"/>
              <w:rPr/>
            </w:pPr>
            <w:r>
              <w:rPr/>
              <w:t> </w:t>
            </w:r>
          </w:p>
        </w:tc>
        <w:tc>
          <w:tcPr>
            <w:tcW w:w="97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112,846</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Investments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39,508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113,226</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Prepaid income taxes</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886"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shd w:fill="B7DEE8" w:val="clear"/>
            <w:vAlign w:val="center"/>
          </w:tcPr>
          <w:p>
            <w:pPr>
              <w:pStyle w:val="TableContents"/>
              <w:bidi w:val="0"/>
              <w:spacing w:before="0" w:after="283"/>
              <w:jc w:val="left"/>
              <w:rPr/>
            </w:pPr>
            <w:r>
              <w:rPr/>
              <w:t> </w:t>
            </w:r>
          </w:p>
        </w:tc>
        <w:tc>
          <w:tcPr>
            <w:tcW w:w="97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7,955</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3" w:type="dxa"/>
            <w:tcBorders/>
            <w:shd w:fill="B7DEE8" w:val="clear"/>
            <w:vAlign w:val="center"/>
          </w:tcPr>
          <w:p>
            <w:pPr>
              <w:pStyle w:val="TableContents"/>
              <w:bidi w:val="0"/>
              <w:spacing w:before="0" w:after="283"/>
              <w:ind w:left="300" w:right="0" w:firstLine="300"/>
              <w:jc w:val="left"/>
              <w:rPr>
                <w:rFonts w:ascii="Times New Roman" w:hAnsi="Times New Roman"/>
                <w:b/>
                <w:color w:val="000000"/>
                <w:sz w:val="19"/>
              </w:rPr>
            </w:pPr>
            <w:r>
              <w:rPr>
                <w:rFonts w:ascii="Times New Roman" w:hAnsi="Times New Roman"/>
                <w:b/>
                <w:color w:val="000000"/>
                <w:sz w:val="19"/>
              </w:rPr>
              <w:t>Total current assets</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886" w:type="dxa"/>
            <w:tcBorders/>
            <w:shd w:fill="B7DEE8"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229,512</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shd w:fill="B7DEE8" w:val="clear"/>
            <w:vAlign w:val="center"/>
          </w:tcPr>
          <w:p>
            <w:pPr>
              <w:pStyle w:val="TableContents"/>
              <w:bidi w:val="0"/>
              <w:spacing w:before="0" w:after="283"/>
              <w:jc w:val="left"/>
              <w:rPr/>
            </w:pPr>
            <w:r>
              <w:rPr/>
              <w:t> </w:t>
            </w:r>
          </w:p>
        </w:tc>
        <w:tc>
          <w:tcPr>
            <w:tcW w:w="978" w:type="dxa"/>
            <w:tcBorders/>
            <w:shd w:fill="B7DEE8"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276,886</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1,118</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Lease right-of-use assets (related-party of $646</w:t>
            </w:r>
            <w:r>
              <w:rPr>
                <w:rFonts w:ascii="Times New Roman" w:hAnsi="Times New Roman"/>
                <w:color w:val="000000"/>
                <w:sz w:val="20"/>
              </w:rPr>
              <w:t> </w:t>
            </w:r>
            <w:r>
              <w:rPr>
                <w:rFonts w:ascii="Times New Roman" w:hAnsi="Times New Roman"/>
                <w:color w:val="000000"/>
                <w:sz w:val="19"/>
              </w:rPr>
              <w:t>and $773</w:t>
            </w:r>
            <w:r>
              <w:rPr>
                <w:rFonts w:ascii="Times New Roman" w:hAnsi="Times New Roman"/>
                <w:color w:val="000000"/>
                <w:sz w:val="20"/>
              </w:rPr>
              <w:t> </w:t>
            </w:r>
            <w:r>
              <w:rPr>
                <w:rFonts w:ascii="Times New Roman" w:hAnsi="Times New Roman"/>
                <w:color w:val="000000"/>
                <w:sz w:val="19"/>
              </w:rPr>
              <w:t>as of June 30, 2024 and December 31, 2023, respectively)</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886"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646</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shd w:fill="B7DEE8" w:val="clear"/>
            <w:vAlign w:val="center"/>
          </w:tcPr>
          <w:p>
            <w:pPr>
              <w:pStyle w:val="TableContents"/>
              <w:bidi w:val="0"/>
              <w:spacing w:before="0" w:after="283"/>
              <w:jc w:val="left"/>
              <w:rPr/>
            </w:pPr>
            <w:r>
              <w:rPr/>
              <w:t> </w:t>
            </w:r>
          </w:p>
        </w:tc>
        <w:tc>
          <w:tcPr>
            <w:tcW w:w="97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773</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Intangible assets, net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13,206</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Debt facility commitment fee, long-term</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886"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243</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shd w:fill="B7DEE8" w:val="clear"/>
            <w:vAlign w:val="center"/>
          </w:tcPr>
          <w:p>
            <w:pPr>
              <w:pStyle w:val="TableContents"/>
              <w:bidi w:val="0"/>
              <w:spacing w:before="0" w:after="283"/>
              <w:jc w:val="left"/>
              <w:rPr/>
            </w:pPr>
            <w:r>
              <w:rPr/>
              <w:t> </w:t>
            </w:r>
          </w:p>
        </w:tc>
        <w:tc>
          <w:tcPr>
            <w:tcW w:w="97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318</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1,319</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B7DEE8" w:val="clear"/>
            <w:vAlign w:val="center"/>
          </w:tcPr>
          <w:p>
            <w:pPr>
              <w:pStyle w:val="TableContents"/>
              <w:bidi w:val="0"/>
              <w:spacing w:before="0" w:after="283"/>
              <w:jc w:val="left"/>
              <w:rPr/>
            </w:pPr>
            <w:r>
              <w:rPr/>
              <w:t> </w:t>
            </w:r>
          </w:p>
        </w:tc>
        <w:tc>
          <w:tcPr>
            <w:tcW w:w="22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411</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403</w:t>
            </w:r>
          </w:p>
        </w:tc>
        <w:tc>
          <w:tcPr>
            <w:tcW w:w="513"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3"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9"/>
              </w:rPr>
            </w:pPr>
            <w:r>
              <w:rPr>
                <w:rFonts w:ascii="Times New Roman" w:hAnsi="Times New Roman"/>
                <w:b/>
                <w:color w:val="000000"/>
                <w:sz w:val="19"/>
              </w:rPr>
              <w:t>Total assets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247,164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294,023</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3" w:type="dxa"/>
            <w:tcBorders/>
            <w:shd w:fill="B7DEE8"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B7DEE8" w:val="clear"/>
            <w:vAlign w:val="center"/>
          </w:tcPr>
          <w:p>
            <w:pPr>
              <w:pStyle w:val="TableContents"/>
              <w:bidi w:val="0"/>
              <w:spacing w:before="0" w:after="283"/>
              <w:jc w:val="left"/>
              <w:rPr/>
            </w:pPr>
            <w:r>
              <w:rPr/>
              <w:t> </w:t>
            </w:r>
          </w:p>
        </w:tc>
        <w:tc>
          <w:tcPr>
            <w:tcW w:w="1108"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23" w:type="dxa"/>
            <w:gridSpan w:val="2"/>
            <w:tcBorders/>
            <w:shd w:fill="B7DEE8" w:val="clear"/>
            <w:vAlign w:val="center"/>
          </w:tcPr>
          <w:p>
            <w:pPr>
              <w:pStyle w:val="TableContents"/>
              <w:bidi w:val="0"/>
              <w:spacing w:before="0" w:after="283"/>
              <w:jc w:val="left"/>
              <w:rPr/>
            </w:pPr>
            <w:r>
              <w:rPr/>
              <w:t> </w:t>
            </w:r>
          </w:p>
        </w:tc>
        <w:tc>
          <w:tcPr>
            <w:tcW w:w="513" w:type="dxa"/>
            <w:tcBorders/>
            <w:shd w:fill="B7DEE8" w:val="clear"/>
            <w:vAlign w:val="center"/>
          </w:tcPr>
          <w:p>
            <w:pPr>
              <w:pStyle w:val="TableContents"/>
              <w:bidi w:val="0"/>
              <w:spacing w:before="0" w:after="283"/>
              <w:jc w:val="left"/>
              <w:rPr/>
            </w:pPr>
            <w:r>
              <w:rPr/>
              <w:t> </w:t>
            </w:r>
          </w:p>
        </w:tc>
      </w:tr>
      <w:tr>
        <w:trPr/>
        <w:tc>
          <w:tcPr>
            <w:tcW w:w="6903"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Current liabilities:</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6"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9,318</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shd w:fill="B7DEE8"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7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5,485</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12,626</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Lease liabilities, short-term (related-party of $323</w:t>
            </w:r>
            <w:r>
              <w:rPr>
                <w:rFonts w:ascii="Times New Roman" w:hAnsi="Times New Roman"/>
                <w:color w:val="000000"/>
                <w:sz w:val="20"/>
              </w:rPr>
              <w:t> </w:t>
            </w:r>
            <w:r>
              <w:rPr>
                <w:rFonts w:ascii="Times New Roman" w:hAnsi="Times New Roman"/>
                <w:color w:val="000000"/>
                <w:sz w:val="19"/>
              </w:rPr>
              <w:t>and $298</w:t>
            </w:r>
            <w:r>
              <w:rPr>
                <w:rFonts w:ascii="Times New Roman" w:hAnsi="Times New Roman"/>
                <w:color w:val="000000"/>
                <w:sz w:val="20"/>
              </w:rPr>
              <w:t> </w:t>
            </w:r>
            <w:r>
              <w:rPr>
                <w:rFonts w:ascii="Times New Roman" w:hAnsi="Times New Roman"/>
                <w:color w:val="000000"/>
                <w:sz w:val="19"/>
              </w:rPr>
              <w:t>as of June 30, 2024 and December 31, 2023, respectively)</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886"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shd w:fill="B7DEE8" w:val="clear"/>
            <w:vAlign w:val="center"/>
          </w:tcPr>
          <w:p>
            <w:pPr>
              <w:pStyle w:val="TableContents"/>
              <w:bidi w:val="0"/>
              <w:spacing w:before="0" w:after="283"/>
              <w:jc w:val="left"/>
              <w:rPr/>
            </w:pPr>
            <w:r>
              <w:rPr/>
              <w:t> </w:t>
            </w:r>
          </w:p>
        </w:tc>
        <w:tc>
          <w:tcPr>
            <w:tcW w:w="97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Legal settlement accrual</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3,330</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Other current liabilities</w:t>
            </w:r>
          </w:p>
        </w:tc>
        <w:tc>
          <w:tcPr>
            <w:tcW w:w="146" w:type="dxa"/>
            <w:tcBorders/>
            <w:shd w:fill="B7DEE8" w:val="clear"/>
            <w:vAlign w:val="center"/>
          </w:tcPr>
          <w:p>
            <w:pPr>
              <w:pStyle w:val="TableContents"/>
              <w:bidi w:val="0"/>
              <w:spacing w:before="0" w:after="283"/>
              <w:jc w:val="left"/>
              <w:rPr/>
            </w:pPr>
            <w:r>
              <w:rPr/>
              <w:t> </w:t>
            </w:r>
          </w:p>
        </w:tc>
        <w:tc>
          <w:tcPr>
            <w:tcW w:w="22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4,375</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3,865</w:t>
            </w:r>
          </w:p>
        </w:tc>
        <w:tc>
          <w:tcPr>
            <w:tcW w:w="513"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3"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9"/>
              </w:rPr>
            </w:pPr>
            <w:r>
              <w:rPr>
                <w:rFonts w:ascii="Times New Roman" w:hAnsi="Times New Roman"/>
                <w:b/>
                <w:color w:val="000000"/>
                <w:sz w:val="19"/>
              </w:rPr>
              <w:t>Total current liabilities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26,462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25,604</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Lease liabilities, long-term (related-party of $380</w:t>
            </w:r>
            <w:r>
              <w:rPr>
                <w:rFonts w:ascii="Times New Roman" w:hAnsi="Times New Roman"/>
                <w:color w:val="000000"/>
                <w:sz w:val="20"/>
              </w:rPr>
              <w:t> </w:t>
            </w:r>
            <w:r>
              <w:rPr>
                <w:rFonts w:ascii="Times New Roman" w:hAnsi="Times New Roman"/>
                <w:color w:val="000000"/>
                <w:sz w:val="19"/>
              </w:rPr>
              <w:t>and $543</w:t>
            </w:r>
            <w:r>
              <w:rPr>
                <w:rFonts w:ascii="Times New Roman" w:hAnsi="Times New Roman"/>
                <w:color w:val="000000"/>
                <w:sz w:val="20"/>
              </w:rPr>
              <w:t> </w:t>
            </w:r>
            <w:r>
              <w:rPr>
                <w:rFonts w:ascii="Times New Roman" w:hAnsi="Times New Roman"/>
                <w:color w:val="000000"/>
                <w:sz w:val="19"/>
              </w:rPr>
              <w:t>as of June 30, 2024 and December 31, 2023, respectively)</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886"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380</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shd w:fill="B7DEE8" w:val="clear"/>
            <w:vAlign w:val="center"/>
          </w:tcPr>
          <w:p>
            <w:pPr>
              <w:pStyle w:val="TableContents"/>
              <w:bidi w:val="0"/>
              <w:spacing w:before="0" w:after="283"/>
              <w:jc w:val="left"/>
              <w:rPr/>
            </w:pPr>
            <w:r>
              <w:rPr/>
              <w:t> </w:t>
            </w:r>
          </w:p>
        </w:tc>
        <w:tc>
          <w:tcPr>
            <w:tcW w:w="97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543</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Debt facility, long-term</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75,000</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Convertible debt, long-term</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886"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shd w:fill="B7DEE8" w:val="clear"/>
            <w:vAlign w:val="center"/>
          </w:tcPr>
          <w:p>
            <w:pPr>
              <w:pStyle w:val="TableContents"/>
              <w:bidi w:val="0"/>
              <w:spacing w:before="0" w:after="283"/>
              <w:jc w:val="left"/>
              <w:rPr/>
            </w:pPr>
            <w:r>
              <w:rPr/>
              <w:t> </w:t>
            </w:r>
          </w:p>
        </w:tc>
        <w:tc>
          <w:tcPr>
            <w:tcW w:w="97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105,451</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Warrant and earnout liabilities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B7DEE8" w:val="clear"/>
            <w:vAlign w:val="center"/>
          </w:tcPr>
          <w:p>
            <w:pPr>
              <w:pStyle w:val="TableContents"/>
              <w:bidi w:val="0"/>
              <w:spacing w:before="0" w:after="283"/>
              <w:jc w:val="left"/>
              <w:rPr/>
            </w:pPr>
            <w:r>
              <w:rPr/>
              <w:t> </w:t>
            </w:r>
          </w:p>
        </w:tc>
        <w:tc>
          <w:tcPr>
            <w:tcW w:w="22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2,993</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w:t>
            </w:r>
          </w:p>
        </w:tc>
        <w:tc>
          <w:tcPr>
            <w:tcW w:w="513"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3"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9"/>
              </w:rPr>
            </w:pPr>
            <w:r>
              <w:rPr>
                <w:rFonts w:ascii="Times New Roman" w:hAnsi="Times New Roman"/>
                <w:b/>
                <w:color w:val="000000"/>
                <w:sz w:val="19"/>
              </w:rPr>
              <w:t>Total liabilities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105,407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206,960</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Commitments and contingencies (Note 11)</w:t>
            </w:r>
          </w:p>
        </w:tc>
        <w:tc>
          <w:tcPr>
            <w:tcW w:w="146" w:type="dxa"/>
            <w:tcBorders/>
            <w:shd w:fill="B7DEE8" w:val="clear"/>
            <w:vAlign w:val="center"/>
          </w:tcPr>
          <w:p>
            <w:pPr>
              <w:pStyle w:val="TableContents"/>
              <w:bidi w:val="0"/>
              <w:spacing w:before="0" w:after="283"/>
              <w:jc w:val="left"/>
              <w:rPr/>
            </w:pPr>
            <w:r>
              <w:rPr/>
              <w:t> </w:t>
            </w:r>
          </w:p>
        </w:tc>
        <w:tc>
          <w:tcPr>
            <w:tcW w:w="1108"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23" w:type="dxa"/>
            <w:gridSpan w:val="2"/>
            <w:tcBorders/>
            <w:shd w:fill="B7DEE8" w:val="clear"/>
            <w:vAlign w:val="center"/>
          </w:tcPr>
          <w:p>
            <w:pPr>
              <w:pStyle w:val="TableContents"/>
              <w:bidi w:val="0"/>
              <w:spacing w:before="0" w:after="283"/>
              <w:jc w:val="left"/>
              <w:rPr/>
            </w:pPr>
            <w:r>
              <w:rPr/>
              <w:t> </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9"/>
              </w:rPr>
            </w:pPr>
            <w:r>
              <w:rPr>
                <w:rFonts w:ascii="Times New Roman" w:hAnsi="Times New Roman"/>
                <w:b/>
                <w:color w:val="000000"/>
                <w:sz w:val="19"/>
              </w:rPr>
              <w:t>Stockholders’ equity:</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Preferred stock, par value per share $0.0001, 10,000,000</w:t>
            </w:r>
            <w:r>
              <w:rPr>
                <w:rFonts w:ascii="Times New Roman" w:hAnsi="Times New Roman"/>
                <w:color w:val="000000"/>
                <w:sz w:val="20"/>
              </w:rPr>
              <w:t> </w:t>
            </w:r>
            <w:r>
              <w:rPr>
                <w:rFonts w:ascii="Times New Roman" w:hAnsi="Times New Roman"/>
                <w:color w:val="000000"/>
                <w:sz w:val="19"/>
              </w:rPr>
              <w:t>shares authorized; 0</w:t>
            </w:r>
            <w:r>
              <w:rPr>
                <w:rFonts w:ascii="Times New Roman" w:hAnsi="Times New Roman"/>
                <w:color w:val="000000"/>
                <w:sz w:val="20"/>
              </w:rPr>
              <w:t> </w:t>
            </w:r>
            <w:r>
              <w:rPr>
                <w:rFonts w:ascii="Times New Roman" w:hAnsi="Times New Roman"/>
                <w:color w:val="000000"/>
                <w:sz w:val="19"/>
              </w:rPr>
              <w:t>shares issued and outstanding at June 30, 2024 and December 31, 2023</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886" w:type="dxa"/>
            <w:tcBorders/>
            <w:shd w:fill="B7DEE8"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shd w:fill="B7DEE8" w:val="clear"/>
            <w:vAlign w:val="center"/>
          </w:tcPr>
          <w:p>
            <w:pPr>
              <w:pStyle w:val="TableContents"/>
              <w:bidi w:val="0"/>
              <w:spacing w:before="0" w:after="283"/>
              <w:jc w:val="left"/>
              <w:rPr/>
            </w:pPr>
            <w:r>
              <w:rPr/>
              <w:t> </w:t>
            </w:r>
          </w:p>
        </w:tc>
        <w:tc>
          <w:tcPr>
            <w:tcW w:w="978" w:type="dxa"/>
            <w:tcBorders/>
            <w:shd w:fill="B7DEE8"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Class A common stock, par value per share $0.0001, 500,000,000</w:t>
            </w:r>
            <w:r>
              <w:rPr>
                <w:rFonts w:ascii="Times New Roman" w:hAnsi="Times New Roman"/>
                <w:color w:val="000000"/>
                <w:sz w:val="20"/>
              </w:rPr>
              <w:t> </w:t>
            </w:r>
            <w:r>
              <w:rPr>
                <w:rFonts w:ascii="Times New Roman" w:hAnsi="Times New Roman"/>
                <w:color w:val="000000"/>
                <w:sz w:val="19"/>
              </w:rPr>
              <w:t>shares authorized; 11,149,290</w:t>
            </w:r>
            <w:r>
              <w:rPr>
                <w:rFonts w:ascii="Times New Roman" w:hAnsi="Times New Roman"/>
                <w:color w:val="000000"/>
                <w:sz w:val="20"/>
              </w:rPr>
              <w:t> </w:t>
            </w:r>
            <w:r>
              <w:rPr>
                <w:rFonts w:ascii="Times New Roman" w:hAnsi="Times New Roman"/>
                <w:color w:val="000000"/>
                <w:sz w:val="19"/>
              </w:rPr>
              <w:t>and 10,683,736</w:t>
            </w:r>
            <w:r>
              <w:rPr>
                <w:rFonts w:ascii="Times New Roman" w:hAnsi="Times New Roman"/>
                <w:color w:val="000000"/>
                <w:sz w:val="20"/>
              </w:rPr>
              <w:t> </w:t>
            </w:r>
            <w:r>
              <w:rPr>
                <w:rFonts w:ascii="Times New Roman" w:hAnsi="Times New Roman"/>
                <w:color w:val="000000"/>
                <w:sz w:val="19"/>
              </w:rPr>
              <w:t>shares issued at June 30, 2024 and December 31, 2023, respectively; 11,099,727</w:t>
            </w:r>
            <w:r>
              <w:rPr>
                <w:rFonts w:ascii="Times New Roman" w:hAnsi="Times New Roman"/>
                <w:color w:val="000000"/>
                <w:sz w:val="20"/>
              </w:rPr>
              <w:t> </w:t>
            </w:r>
            <w:r>
              <w:rPr>
                <w:rFonts w:ascii="Times New Roman" w:hAnsi="Times New Roman"/>
                <w:color w:val="000000"/>
                <w:sz w:val="19"/>
              </w:rPr>
              <w:t>and 10,634,173</w:t>
            </w:r>
            <w:r>
              <w:rPr>
                <w:rFonts w:ascii="Times New Roman" w:hAnsi="Times New Roman"/>
                <w:color w:val="000000"/>
                <w:sz w:val="20"/>
              </w:rPr>
              <w:t> </w:t>
            </w:r>
            <w:r>
              <w:rPr>
                <w:rFonts w:ascii="Times New Roman" w:hAnsi="Times New Roman"/>
                <w:color w:val="000000"/>
                <w:sz w:val="19"/>
              </w:rPr>
              <w:t>shares outstanding at June 30, 2024 and December 31, 2023.</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Class V common stock, par value per share $0.0001, 100,000,000</w:t>
            </w:r>
            <w:r>
              <w:rPr>
                <w:rFonts w:ascii="Times New Roman" w:hAnsi="Times New Roman"/>
                <w:color w:val="000000"/>
                <w:sz w:val="20"/>
              </w:rPr>
              <w:t> </w:t>
            </w:r>
            <w:r>
              <w:rPr>
                <w:rFonts w:ascii="Times New Roman" w:hAnsi="Times New Roman"/>
                <w:color w:val="000000"/>
                <w:sz w:val="19"/>
              </w:rPr>
              <w:t>shares authorized; 1,514,082</w:t>
            </w:r>
            <w:r>
              <w:rPr>
                <w:rFonts w:ascii="Times New Roman" w:hAnsi="Times New Roman"/>
                <w:color w:val="000000"/>
                <w:sz w:val="20"/>
              </w:rPr>
              <w:t> </w:t>
            </w:r>
            <w:r>
              <w:rPr>
                <w:rFonts w:ascii="Times New Roman" w:hAnsi="Times New Roman"/>
                <w:color w:val="000000"/>
                <w:sz w:val="19"/>
              </w:rPr>
              <w:t>shares issued and outstanding at June 30, 2024 and December 31, 2023, respectively;</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886"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shd w:fill="B7DEE8" w:val="clear"/>
            <w:vAlign w:val="center"/>
          </w:tcPr>
          <w:p>
            <w:pPr>
              <w:pStyle w:val="TableContents"/>
              <w:bidi w:val="0"/>
              <w:spacing w:before="0" w:after="283"/>
              <w:jc w:val="left"/>
              <w:rPr/>
            </w:pPr>
            <w:r>
              <w:rPr/>
              <w:t> </w:t>
            </w:r>
          </w:p>
        </w:tc>
        <w:tc>
          <w:tcPr>
            <w:tcW w:w="97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311,400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296,733</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903"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Accumulated other comprehensive gain</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886"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shd w:fill="B7DEE8" w:val="clear"/>
            <w:vAlign w:val="center"/>
          </w:tcPr>
          <w:p>
            <w:pPr>
              <w:pStyle w:val="TableContents"/>
              <w:bidi w:val="0"/>
              <w:spacing w:before="0" w:after="283"/>
              <w:jc w:val="left"/>
              <w:rPr/>
            </w:pPr>
            <w:r>
              <w:rPr/>
              <w:t> </w:t>
            </w:r>
          </w:p>
        </w:tc>
        <w:tc>
          <w:tcPr>
            <w:tcW w:w="97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649</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90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(210,320</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6903" w:type="dxa"/>
            <w:tcBorders/>
            <w:shd w:fill="B7DEE8" w:val="clear"/>
            <w:vAlign w:val="center"/>
          </w:tcPr>
          <w:p>
            <w:pPr>
              <w:pStyle w:val="TableContents"/>
              <w:bidi w:val="0"/>
              <w:spacing w:before="0" w:after="283"/>
              <w:ind w:left="300" w:right="0" w:firstLine="300"/>
              <w:jc w:val="left"/>
              <w:rPr>
                <w:rFonts w:ascii="Times New Roman" w:hAnsi="Times New Roman"/>
                <w:b/>
                <w:color w:val="000000"/>
                <w:sz w:val="19"/>
              </w:rPr>
            </w:pPr>
            <w:r>
              <w:rPr>
                <w:rFonts w:ascii="Times New Roman" w:hAnsi="Times New Roman"/>
                <w:b/>
                <w:color w:val="000000"/>
                <w:sz w:val="19"/>
              </w:rPr>
              <w:t>Total stockholders’ equity</w:t>
            </w:r>
          </w:p>
        </w:tc>
        <w:tc>
          <w:tcPr>
            <w:tcW w:w="146" w:type="dxa"/>
            <w:tcBorders/>
            <w:shd w:fill="B7DEE8" w:val="clear"/>
            <w:vAlign w:val="center"/>
          </w:tcPr>
          <w:p>
            <w:pPr>
              <w:pStyle w:val="TableContents"/>
              <w:bidi w:val="0"/>
              <w:spacing w:before="0" w:after="283"/>
              <w:jc w:val="left"/>
              <w:rPr/>
            </w:pPr>
            <w:r>
              <w:rPr/>
              <w:t> </w:t>
            </w:r>
          </w:p>
        </w:tc>
        <w:tc>
          <w:tcPr>
            <w:tcW w:w="22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8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141,757</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78"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87,063</w:t>
            </w:r>
          </w:p>
        </w:tc>
        <w:tc>
          <w:tcPr>
            <w:tcW w:w="513" w:type="dxa"/>
            <w:tcBorders>
              <w:bottom w:val="double" w:sz="6"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3"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9"/>
              </w:rPr>
            </w:pPr>
            <w:r>
              <w:rPr>
                <w:rFonts w:ascii="Times New Roman" w:hAnsi="Times New Roman"/>
                <w:b/>
                <w:color w:val="000000"/>
                <w:sz w:val="19"/>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247,164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294,023</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b/>
          <w:color w:val="000000"/>
          <w:sz w:val="20"/>
        </w:rPr>
      </w:pPr>
      <w:bookmarkStart w:id="5" w:name="balancesheet_daveodfunding"/>
      <w:bookmarkEnd w:id="5"/>
      <w:r>
        <w:rPr>
          <w:rFonts w:ascii="Times New Roman" w:hAnsi="Times New Roman"/>
          <w:b/>
          <w:color w:val="000000"/>
          <w:sz w:val="20"/>
        </w:rPr>
        <w:t>Condensed Consolidated Balance Sheets, Continued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the assets and liabilities of a consolidated variable interest entity (“VIE”), which are included in the condensed consolidated balance sheets above. The assets in the table below may only be used to settle obligations of consolidated VIEs and are in excess of those obligations. All intercompany accounts have been eliminated. </w:t>
      </w:r>
    </w:p>
    <w:p>
      <w:pPr>
        <w:pStyle w:val="TextBody"/>
        <w:bidi w:val="0"/>
        <w:jc w:val="left"/>
        <w:rPr/>
      </w:pPr>
      <w:r>
        <w:rPr/>
        <w:t> </w:t>
      </w:r>
    </w:p>
    <w:p>
      <w:pPr>
        <w:pStyle w:val="TextBody"/>
        <w:bidi w:val="0"/>
        <w:jc w:val="left"/>
        <w:rPr/>
      </w:pPr>
      <w:r>
        <w:rPr/>
        <w:t> </w:t>
      </w:r>
    </w:p>
    <w:tbl>
      <w:tblPr>
        <w:tblW w:w="9280" w:type="dxa"/>
        <w:jc w:val="left"/>
        <w:tblInd w:w="0" w:type="dxa"/>
        <w:tblLayout w:type="fixed"/>
        <w:tblCellMar>
          <w:top w:w="28" w:type="dxa"/>
          <w:left w:w="28" w:type="dxa"/>
          <w:bottom w:w="28" w:type="dxa"/>
          <w:right w:w="28" w:type="dxa"/>
        </w:tblCellMar>
      </w:tblPr>
      <w:tblGrid>
        <w:gridCol w:w="4421"/>
        <w:gridCol w:w="146"/>
        <w:gridCol w:w="370"/>
        <w:gridCol w:w="1370"/>
        <w:gridCol w:w="146"/>
        <w:gridCol w:w="146"/>
        <w:gridCol w:w="466"/>
        <w:gridCol w:w="1724"/>
        <w:gridCol w:w="491"/>
      </w:tblGrid>
      <w:tr>
        <w:trPr/>
        <w:tc>
          <w:tcPr>
            <w:tcW w:w="4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40" w:type="dxa"/>
            <w:gridSpan w:val="2"/>
            <w:tcBorders/>
            <w:shd w:fill="FFFFFF" w:val="cle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jc w:val="center"/>
              <w:rPr/>
            </w:pPr>
            <w:r>
              <w:rPr/>
              <w:t> </w:t>
            </w:r>
          </w:p>
        </w:tc>
      </w:tr>
      <w:tr>
        <w:trPr/>
        <w:tc>
          <w:tcPr>
            <w:tcW w:w="442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B6DEE8" w:val="clear"/>
            <w:vAlign w:val="center"/>
          </w:tcPr>
          <w:p>
            <w:pPr>
              <w:pStyle w:val="TableContents"/>
              <w:bidi w:val="0"/>
              <w:spacing w:before="0" w:after="283"/>
              <w:jc w:val="left"/>
              <w:rPr/>
            </w:pPr>
            <w:r>
              <w:rPr/>
              <w:t> </w:t>
            </w:r>
          </w:p>
        </w:tc>
        <w:tc>
          <w:tcPr>
            <w:tcW w:w="1740"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90" w:type="dxa"/>
            <w:gridSpan w:val="2"/>
            <w:tcBorders/>
            <w:shd w:fill="B6DEE8" w:val="clear"/>
            <w:vAlign w:val="center"/>
          </w:tcPr>
          <w:p>
            <w:pPr>
              <w:pStyle w:val="TableContents"/>
              <w:bidi w:val="0"/>
              <w:spacing w:before="0" w:after="283"/>
              <w:jc w:val="left"/>
              <w:rPr/>
            </w:pPr>
            <w:r>
              <w:rPr/>
              <w:t> </w:t>
            </w:r>
          </w:p>
        </w:tc>
        <w:tc>
          <w:tcPr>
            <w:tcW w:w="491" w:type="dxa"/>
            <w:tcBorders/>
            <w:shd w:fill="B6DEE8" w:val="clear"/>
            <w:vAlign w:val="center"/>
          </w:tcPr>
          <w:p>
            <w:pPr>
              <w:pStyle w:val="TableContents"/>
              <w:bidi w:val="0"/>
              <w:spacing w:before="0" w:after="283"/>
              <w:ind w:left="0" w:right="0" w:firstLine="100"/>
              <w:jc w:val="left"/>
              <w:rPr/>
            </w:pPr>
            <w:r>
              <w:rPr/>
              <w:t> </w:t>
            </w:r>
          </w:p>
        </w:tc>
      </w:tr>
      <w:tr>
        <w:trPr/>
        <w:tc>
          <w:tcPr>
            <w:tcW w:w="4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37,684</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4421" w:type="dxa"/>
            <w:tcBorders/>
            <w:shd w:fill="B6DEE8"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B6DEE8" w:val="clear"/>
            <w:vAlign w:val="center"/>
          </w:tcPr>
          <w:p>
            <w:pPr>
              <w:pStyle w:val="TableContents"/>
              <w:bidi w:val="0"/>
              <w:spacing w:before="0" w:after="283"/>
              <w:jc w:val="left"/>
              <w:rPr/>
            </w:pPr>
            <w:r>
              <w:rPr/>
              <w:t> </w:t>
            </w:r>
          </w:p>
        </w:tc>
        <w:tc>
          <w:tcPr>
            <w:tcW w:w="370" w:type="dxa"/>
            <w:tcBorders/>
            <w:shd w:fill="B6DEE8" w:val="clear"/>
            <w:vAlign w:val="center"/>
          </w:tcPr>
          <w:p>
            <w:pPr>
              <w:pStyle w:val="TableContents"/>
              <w:bidi w:val="0"/>
              <w:spacing w:before="0" w:after="283"/>
              <w:jc w:val="left"/>
              <w:rPr/>
            </w:pPr>
            <w:r>
              <w:rPr/>
              <w:t> </w:t>
            </w:r>
          </w:p>
        </w:tc>
        <w:tc>
          <w:tcPr>
            <w:tcW w:w="137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66" w:type="dxa"/>
            <w:tcBorders/>
            <w:shd w:fill="B6DEE8" w:val="clear"/>
            <w:vAlign w:val="center"/>
          </w:tcPr>
          <w:p>
            <w:pPr>
              <w:pStyle w:val="TableContents"/>
              <w:bidi w:val="0"/>
              <w:spacing w:before="0" w:after="283"/>
              <w:jc w:val="left"/>
              <w:rPr/>
            </w:pPr>
            <w:r>
              <w:rPr/>
              <w:t> </w:t>
            </w:r>
          </w:p>
        </w:tc>
        <w:tc>
          <w:tcPr>
            <w:tcW w:w="1724"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21,264</w:t>
            </w:r>
          </w:p>
        </w:tc>
        <w:tc>
          <w:tcPr>
            <w:tcW w:w="491" w:type="dxa"/>
            <w:tcBorders/>
            <w:shd w:fill="B6DEE8" w:val="clear"/>
            <w:vAlign w:val="center"/>
          </w:tcPr>
          <w:p>
            <w:pPr>
              <w:pStyle w:val="TableContents"/>
              <w:bidi w:val="0"/>
              <w:spacing w:before="0" w:after="283"/>
              <w:ind w:left="0" w:right="0" w:firstLine="100"/>
              <w:jc w:val="left"/>
              <w:rPr/>
            </w:pPr>
            <w:r>
              <w:rPr/>
              <w:t> </w:t>
            </w:r>
          </w:p>
        </w:tc>
      </w:tr>
      <w:tr>
        <w:trPr/>
        <w:tc>
          <w:tcPr>
            <w:tcW w:w="4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Member advances, net of allowance for credit losses</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1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95,812</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4421" w:type="dxa"/>
            <w:tcBorders/>
            <w:shd w:fill="B6DEE8"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Debt facility commitment fee, current</w:t>
            </w:r>
          </w:p>
        </w:tc>
        <w:tc>
          <w:tcPr>
            <w:tcW w:w="146" w:type="dxa"/>
            <w:tcBorders/>
            <w:shd w:fill="B6DEE8" w:val="clear"/>
            <w:vAlign w:val="center"/>
          </w:tcPr>
          <w:p>
            <w:pPr>
              <w:pStyle w:val="TableContents"/>
              <w:bidi w:val="0"/>
              <w:spacing w:before="0" w:after="283"/>
              <w:jc w:val="left"/>
              <w:rPr/>
            </w:pPr>
            <w:r>
              <w:rPr/>
              <w:t> </w:t>
            </w:r>
          </w:p>
        </w:tc>
        <w:tc>
          <w:tcPr>
            <w:tcW w:w="370" w:type="dxa"/>
            <w:tcBorders/>
            <w:shd w:fill="B6DEE8" w:val="clear"/>
            <w:vAlign w:val="center"/>
          </w:tcPr>
          <w:p>
            <w:pPr>
              <w:pStyle w:val="TableContents"/>
              <w:bidi w:val="0"/>
              <w:spacing w:before="0" w:after="283"/>
              <w:jc w:val="left"/>
              <w:rPr/>
            </w:pPr>
            <w:r>
              <w:rPr/>
              <w:t> </w:t>
            </w:r>
          </w:p>
        </w:tc>
        <w:tc>
          <w:tcPr>
            <w:tcW w:w="137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66" w:type="dxa"/>
            <w:tcBorders/>
            <w:shd w:fill="B6DEE8" w:val="clear"/>
            <w:vAlign w:val="center"/>
          </w:tcPr>
          <w:p>
            <w:pPr>
              <w:pStyle w:val="TableContents"/>
              <w:bidi w:val="0"/>
              <w:spacing w:before="0" w:after="283"/>
              <w:jc w:val="left"/>
              <w:rPr/>
            </w:pPr>
            <w:r>
              <w:rPr/>
              <w:t> </w:t>
            </w:r>
          </w:p>
        </w:tc>
        <w:tc>
          <w:tcPr>
            <w:tcW w:w="1724"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491" w:type="dxa"/>
            <w:tcBorders/>
            <w:shd w:fill="B6DEE8" w:val="clear"/>
            <w:vAlign w:val="center"/>
          </w:tcPr>
          <w:p>
            <w:pPr>
              <w:pStyle w:val="TableContents"/>
              <w:bidi w:val="0"/>
              <w:spacing w:before="0" w:after="283"/>
              <w:ind w:left="0" w:right="0" w:firstLine="100"/>
              <w:jc w:val="left"/>
              <w:rPr/>
            </w:pPr>
            <w:r>
              <w:rPr/>
              <w:t> </w:t>
            </w:r>
          </w:p>
        </w:tc>
      </w:tr>
      <w:tr>
        <w:trPr/>
        <w:tc>
          <w:tcPr>
            <w:tcW w:w="4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Debt facility commitment fee, long-term</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21" w:type="dxa"/>
            <w:tcBorders/>
            <w:shd w:fill="B6DEE8" w:val="cle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B6DEE8" w:val="clear"/>
            <w:vAlign w:val="center"/>
          </w:tcPr>
          <w:p>
            <w:pPr>
              <w:pStyle w:val="TableContents"/>
              <w:bidi w:val="0"/>
              <w:spacing w:before="0" w:after="283"/>
              <w:jc w:val="left"/>
              <w:rPr/>
            </w:pPr>
            <w:r>
              <w:rPr/>
              <w:t> </w:t>
            </w:r>
          </w:p>
        </w:tc>
        <w:tc>
          <w:tcPr>
            <w:tcW w:w="37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175,856</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2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155,217</w:t>
            </w:r>
          </w:p>
        </w:tc>
        <w:tc>
          <w:tcPr>
            <w:tcW w:w="4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4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74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4421" w:type="dxa"/>
            <w:tcBorders/>
            <w:shd w:fill="B6DEE8"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B6DEE8" w:val="clear"/>
            <w:vAlign w:val="center"/>
          </w:tcPr>
          <w:p>
            <w:pPr>
              <w:pStyle w:val="TableContents"/>
              <w:bidi w:val="0"/>
              <w:spacing w:before="0" w:after="283"/>
              <w:jc w:val="left"/>
              <w:rPr/>
            </w:pPr>
            <w:r>
              <w:rPr/>
              <w:t> </w:t>
            </w:r>
          </w:p>
        </w:tc>
        <w:tc>
          <w:tcPr>
            <w:tcW w:w="370" w:type="dxa"/>
            <w:tcBorders/>
            <w:shd w:fill="B6DEE8" w:val="clear"/>
            <w:vAlign w:val="center"/>
          </w:tcPr>
          <w:p>
            <w:pPr>
              <w:pStyle w:val="TableContents"/>
              <w:bidi w:val="0"/>
              <w:spacing w:before="0" w:after="283"/>
              <w:jc w:val="left"/>
              <w:rPr/>
            </w:pPr>
            <w:r>
              <w:rPr/>
              <w:t> </w:t>
            </w:r>
          </w:p>
        </w:tc>
        <w:tc>
          <w:tcPr>
            <w:tcW w:w="137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66" w:type="dxa"/>
            <w:tcBorders/>
            <w:shd w:fill="B6DEE8" w:val="clear"/>
            <w:vAlign w:val="center"/>
          </w:tcPr>
          <w:p>
            <w:pPr>
              <w:pStyle w:val="TableContents"/>
              <w:bidi w:val="0"/>
              <w:spacing w:before="0" w:after="283"/>
              <w:jc w:val="left"/>
              <w:rPr/>
            </w:pPr>
            <w:r>
              <w:rPr/>
              <w:t> </w:t>
            </w:r>
          </w:p>
        </w:tc>
        <w:tc>
          <w:tcPr>
            <w:tcW w:w="1724"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491" w:type="dxa"/>
            <w:tcBorders/>
            <w:shd w:fill="B6DEE8" w:val="clear"/>
            <w:vAlign w:val="center"/>
          </w:tcPr>
          <w:p>
            <w:pPr>
              <w:pStyle w:val="TableContents"/>
              <w:bidi w:val="0"/>
              <w:spacing w:before="0" w:after="283"/>
              <w:ind w:left="0" w:right="0" w:firstLine="100"/>
              <w:jc w:val="left"/>
              <w:rPr/>
            </w:pPr>
            <w:r>
              <w:rPr/>
              <w:t> </w:t>
            </w:r>
          </w:p>
        </w:tc>
      </w:tr>
      <w:tr>
        <w:trPr/>
        <w:tc>
          <w:tcPr>
            <w:tcW w:w="4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Long-term debt facility</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21" w:type="dxa"/>
            <w:tcBorders/>
            <w:shd w:fill="B6DEE8" w:val="cle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B6DEE8" w:val="clear"/>
            <w:vAlign w:val="center"/>
          </w:tcPr>
          <w:p>
            <w:pPr>
              <w:pStyle w:val="TableContents"/>
              <w:bidi w:val="0"/>
              <w:spacing w:before="0" w:after="283"/>
              <w:jc w:val="left"/>
              <w:rPr/>
            </w:pPr>
            <w:r>
              <w:rPr/>
              <w:t> </w:t>
            </w:r>
          </w:p>
        </w:tc>
        <w:tc>
          <w:tcPr>
            <w:tcW w:w="37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75,638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2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75,661</w:t>
            </w:r>
          </w:p>
        </w:tc>
        <w:tc>
          <w:tcPr>
            <w:tcW w:w="4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spacing w:before="7" w:after="283"/>
        <w:jc w:val="center"/>
        <w:rPr>
          <w:rFonts w:ascii="Times New Roman" w:hAnsi="Times New Roman"/>
          <w:b/>
          <w:color w:val="000000"/>
          <w:sz w:val="20"/>
        </w:rPr>
      </w:pPr>
      <w:bookmarkStart w:id="6" w:name="statementsofoperatrions"/>
      <w:bookmarkEnd w:id="6"/>
      <w:r>
        <w:rPr>
          <w:rFonts w:ascii="Times New Roman" w:hAnsi="Times New Roman"/>
          <w:b/>
          <w:color w:val="000000"/>
          <w:sz w:val="20"/>
        </w:rPr>
        <w:t>Condensed Consolidated Statements of Operations</w:t>
      </w:r>
    </w:p>
    <w:p>
      <w:pPr>
        <w:pStyle w:val="TextBody"/>
        <w:bidi w:val="0"/>
        <w:spacing w:before="12" w:after="283"/>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spacing w:before="12" w:after="283"/>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12"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813"/>
        <w:gridCol w:w="246"/>
        <w:gridCol w:w="213"/>
        <w:gridCol w:w="1048"/>
        <w:gridCol w:w="166"/>
        <w:gridCol w:w="146"/>
        <w:gridCol w:w="213"/>
        <w:gridCol w:w="1048"/>
        <w:gridCol w:w="166"/>
        <w:gridCol w:w="213"/>
        <w:gridCol w:w="1048"/>
        <w:gridCol w:w="166"/>
        <w:gridCol w:w="146"/>
        <w:gridCol w:w="213"/>
        <w:gridCol w:w="1048"/>
        <w:gridCol w:w="312"/>
      </w:tblGrid>
      <w:tr>
        <w:trPr/>
        <w:tc>
          <w:tcPr>
            <w:tcW w:w="38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813"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3"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2023</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revenues:</w:t>
            </w:r>
          </w:p>
        </w:tc>
        <w:tc>
          <w:tcPr>
            <w:tcW w:w="246" w:type="dxa"/>
            <w:tcBorders/>
            <w:shd w:fill="B7DEE8" w:val="clear"/>
            <w:vAlign w:val="center"/>
          </w:tcPr>
          <w:p>
            <w:pPr>
              <w:pStyle w:val="TableContents"/>
              <w:bidi w:val="0"/>
              <w:spacing w:before="0" w:after="283"/>
              <w:jc w:val="left"/>
              <w:rPr/>
            </w:pPr>
            <w:r>
              <w:rPr/>
              <w:t> </w:t>
            </w:r>
          </w:p>
        </w:tc>
        <w:tc>
          <w:tcPr>
            <w:tcW w:w="1261"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61"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261"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61" w:type="dxa"/>
            <w:gridSpan w:val="2"/>
            <w:tcBorders/>
            <w:shd w:fill="B7DEE8" w:val="clear"/>
            <w:vAlign w:val="center"/>
          </w:tcPr>
          <w:p>
            <w:pPr>
              <w:pStyle w:val="TableContents"/>
              <w:bidi w:val="0"/>
              <w:spacing w:before="0" w:after="283"/>
              <w:jc w:val="left"/>
              <w:rPr/>
            </w:pPr>
            <w:r>
              <w:rPr/>
              <w:t> </w:t>
            </w:r>
          </w:p>
        </w:tc>
        <w:tc>
          <w:tcPr>
            <w:tcW w:w="312" w:type="dxa"/>
            <w:tcBorders/>
            <w:shd w:fill="B7DEE8" w:val="clear"/>
            <w:vAlign w:val="center"/>
          </w:tcPr>
          <w:p>
            <w:pPr>
              <w:pStyle w:val="TableContents"/>
              <w:bidi w:val="0"/>
              <w:spacing w:before="0" w:after="283"/>
              <w:ind w:left="0" w:right="0" w:firstLine="100"/>
              <w:jc w:val="left"/>
              <w:rPr/>
            </w:pPr>
            <w:r>
              <w:rPr/>
              <w:t> </w:t>
            </w:r>
          </w:p>
        </w:tc>
      </w:tr>
      <w:tr>
        <w:trPr/>
        <w:tc>
          <w:tcPr>
            <w:tcW w:w="381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based revenue,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54,985</w:t>
            </w:r>
          </w:p>
        </w:tc>
        <w:tc>
          <w:tcPr>
            <w:tcW w:w="16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107,561</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3813"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based revenue, net</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8,466</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16,534</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12,602</w:t>
            </w:r>
          </w:p>
        </w:tc>
        <w:tc>
          <w:tcPr>
            <w:tcW w:w="31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813"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revenues,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120,163</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B7DEE8" w:val="clear"/>
            <w:vAlign w:val="center"/>
          </w:tcPr>
          <w:p>
            <w:pPr>
              <w:pStyle w:val="TableContents"/>
              <w:bidi w:val="0"/>
              <w:spacing w:before="0" w:after="283"/>
              <w:jc w:val="left"/>
              <w:rPr/>
            </w:pPr>
            <w:r>
              <w:rPr/>
              <w:t> </w:t>
            </w:r>
          </w:p>
        </w:tc>
        <w:tc>
          <w:tcPr>
            <w:tcW w:w="1261"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61"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261"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61" w:type="dxa"/>
            <w:gridSpan w:val="2"/>
            <w:tcBorders/>
            <w:shd w:fill="B7DEE8" w:val="clear"/>
            <w:vAlign w:val="center"/>
          </w:tcPr>
          <w:p>
            <w:pPr>
              <w:pStyle w:val="TableContents"/>
              <w:bidi w:val="0"/>
              <w:spacing w:before="0" w:after="283"/>
              <w:jc w:val="left"/>
              <w:rPr/>
            </w:pPr>
            <w:r>
              <w:rPr/>
              <w:t> </w:t>
            </w:r>
          </w:p>
        </w:tc>
        <w:tc>
          <w:tcPr>
            <w:tcW w:w="312" w:type="dxa"/>
            <w:tcBorders/>
            <w:shd w:fill="B7DEE8" w:val="clear"/>
            <w:vAlign w:val="center"/>
          </w:tcPr>
          <w:p>
            <w:pPr>
              <w:pStyle w:val="TableContents"/>
              <w:bidi w:val="0"/>
              <w:spacing w:before="0" w:after="283"/>
              <w:ind w:left="0" w:right="0" w:firstLine="100"/>
              <w:jc w:val="left"/>
              <w:rPr/>
            </w:pPr>
            <w:r>
              <w:rPr/>
              <w:t> </w:t>
            </w:r>
          </w:p>
        </w:tc>
      </w:tr>
      <w:tr>
        <w:trPr/>
        <w:tc>
          <w:tcPr>
            <w:tcW w:w="381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credit losses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15,925</w:t>
            </w:r>
          </w:p>
        </w:tc>
        <w:tc>
          <w:tcPr>
            <w:tcW w:w="16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27,878</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3813"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Processing and servicing costs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w:t>
            </w:r>
          </w:p>
        </w:tc>
        <w:tc>
          <w:tcPr>
            <w:tcW w:w="16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15,517</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14,350</w:t>
            </w:r>
          </w:p>
        </w:tc>
        <w:tc>
          <w:tcPr>
            <w:tcW w:w="312" w:type="dxa"/>
            <w:tcBorders/>
            <w:shd w:fill="B7DEE8" w:val="clear"/>
            <w:vAlign w:val="center"/>
          </w:tcPr>
          <w:p>
            <w:pPr>
              <w:pStyle w:val="TableContents"/>
              <w:bidi w:val="0"/>
              <w:spacing w:before="0" w:after="283"/>
              <w:ind w:left="0" w:right="0" w:firstLine="100"/>
              <w:jc w:val="left"/>
              <w:rPr/>
            </w:pPr>
            <w:r>
              <w:rPr/>
              <w:t> </w:t>
            </w:r>
          </w:p>
        </w:tc>
      </w:tr>
      <w:tr>
        <w:trPr/>
        <w:tc>
          <w:tcPr>
            <w:tcW w:w="381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Advertising and marketing</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14,985</w:t>
            </w:r>
          </w:p>
        </w:tc>
        <w:tc>
          <w:tcPr>
            <w:tcW w:w="16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24,456</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3813"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Compensation and benefits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24,515</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16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49,067</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48,299</w:t>
            </w:r>
          </w:p>
        </w:tc>
        <w:tc>
          <w:tcPr>
            <w:tcW w:w="312" w:type="dxa"/>
            <w:tcBorders/>
            <w:shd w:fill="B7DEE8" w:val="clear"/>
            <w:vAlign w:val="center"/>
          </w:tcPr>
          <w:p>
            <w:pPr>
              <w:pStyle w:val="TableContents"/>
              <w:bidi w:val="0"/>
              <w:spacing w:before="0" w:after="283"/>
              <w:ind w:left="0" w:right="0" w:firstLine="100"/>
              <w:jc w:val="left"/>
              <w:rPr/>
            </w:pPr>
            <w:r>
              <w:rPr/>
              <w:t> </w:t>
            </w:r>
          </w:p>
        </w:tc>
      </w:tr>
      <w:tr>
        <w:trPr/>
        <w:tc>
          <w:tcPr>
            <w:tcW w:w="381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38,579</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3" w:type="dxa"/>
            <w:tcBorders/>
            <w:shd w:fill="B7DEE8"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expenses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74,448</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82,152</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142,679</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153,562</w:t>
            </w:r>
          </w:p>
        </w:tc>
        <w:tc>
          <w:tcPr>
            <w:tcW w:w="31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81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24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3813"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6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6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312"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w:t>
            </w:r>
          </w:p>
        </w:tc>
        <w:tc>
          <w:tcPr>
            <w:tcW w:w="16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3813"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extinguishment of convertible debt</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16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2" w:type="dxa"/>
            <w:tcBorders/>
            <w:shd w:fill="B7DEE8" w:val="clear"/>
            <w:vAlign w:val="center"/>
          </w:tcPr>
          <w:p>
            <w:pPr>
              <w:pStyle w:val="TableContents"/>
              <w:bidi w:val="0"/>
              <w:spacing w:before="0" w:after="283"/>
              <w:ind w:left="0" w:right="0" w:firstLine="100"/>
              <w:jc w:val="left"/>
              <w:rPr/>
            </w:pPr>
            <w:r>
              <w:rPr/>
              <w:t> </w:t>
            </w:r>
          </w:p>
        </w:tc>
      </w:tr>
      <w:tr>
        <w:trPr/>
        <w:tc>
          <w:tcPr>
            <w:tcW w:w="381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3"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813"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other (income) expense,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3,229</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before provision for income taxes</w:t>
            </w:r>
          </w:p>
        </w:tc>
        <w:tc>
          <w:tcPr>
            <w:tcW w:w="2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4,576</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center"/>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(22,611</w:t>
            </w:r>
          </w:p>
        </w:tc>
        <w:tc>
          <w:tcPr>
            <w:tcW w:w="166"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42,022</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center"/>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(36,628</w:t>
            </w:r>
          </w:p>
        </w:tc>
        <w:tc>
          <w:tcPr>
            <w:tcW w:w="312" w:type="dxa"/>
            <w:tcBorders/>
            <w:shd w:fill="B7DEE8"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81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(benefit) for income taxes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3" w:type="dxa"/>
            <w:tcBorders/>
            <w:shd w:fill="B7DEE8"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income (loss)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6,358</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(22,618</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40,601</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8"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(36,643</w:t>
            </w:r>
          </w:p>
        </w:tc>
        <w:tc>
          <w:tcPr>
            <w:tcW w:w="31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3"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6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gridSpan w:val="2"/>
            <w:tcBorders/>
            <w:shd w:fill="FFFFFF" w:val="clear"/>
            <w:vAlign w:val="center"/>
          </w:tcPr>
          <w:p>
            <w:pPr>
              <w:pStyle w:val="TableContents"/>
              <w:bidi w:val="0"/>
              <w:spacing w:before="0" w:after="283"/>
              <w:jc w:val="center"/>
              <w:rPr/>
            </w:pPr>
            <w:r>
              <w:rPr/>
              <w:t> </w:t>
            </w:r>
          </w:p>
        </w:tc>
        <w:tc>
          <w:tcPr>
            <w:tcW w:w="312" w:type="dxa"/>
            <w:tcBorders/>
            <w:shd w:fill="FFFFFF" w:val="clear"/>
            <w:vAlign w:val="center"/>
          </w:tcPr>
          <w:p>
            <w:pPr>
              <w:pStyle w:val="TableContents"/>
              <w:bidi w:val="0"/>
              <w:spacing w:before="0" w:after="283"/>
              <w:jc w:val="center"/>
              <w:rPr/>
            </w:pPr>
            <w:r>
              <w:rPr/>
              <w:t> </w:t>
            </w:r>
          </w:p>
        </w:tc>
      </w:tr>
      <w:tr>
        <w:trPr/>
        <w:tc>
          <w:tcPr>
            <w:tcW w:w="381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w:t>
            </w:r>
          </w:p>
        </w:tc>
        <w:tc>
          <w:tcPr>
            <w:tcW w:w="246" w:type="dxa"/>
            <w:tcBorders/>
            <w:shd w:fill="B7DEE8" w:val="clear"/>
            <w:vAlign w:val="center"/>
          </w:tcPr>
          <w:p>
            <w:pPr>
              <w:pStyle w:val="TableContents"/>
              <w:bidi w:val="0"/>
              <w:spacing w:before="0" w:after="283"/>
              <w:jc w:val="left"/>
              <w:rPr/>
            </w:pPr>
            <w:r>
              <w:rPr/>
              <w:t> </w:t>
            </w:r>
          </w:p>
        </w:tc>
        <w:tc>
          <w:tcPr>
            <w:tcW w:w="1261"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61"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261"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61" w:type="dxa"/>
            <w:gridSpan w:val="2"/>
            <w:tcBorders/>
            <w:shd w:fill="B7DEE8" w:val="clear"/>
            <w:vAlign w:val="center"/>
          </w:tcPr>
          <w:p>
            <w:pPr>
              <w:pStyle w:val="TableContents"/>
              <w:bidi w:val="0"/>
              <w:spacing w:before="0" w:after="283"/>
              <w:jc w:val="left"/>
              <w:rPr/>
            </w:pPr>
            <w:r>
              <w:rPr/>
              <w:t> </w:t>
            </w:r>
          </w:p>
        </w:tc>
        <w:tc>
          <w:tcPr>
            <w:tcW w:w="312" w:type="dxa"/>
            <w:tcBorders/>
            <w:shd w:fill="B7DEE8" w:val="clear"/>
            <w:vAlign w:val="center"/>
          </w:tcPr>
          <w:p>
            <w:pPr>
              <w:pStyle w:val="TableContents"/>
              <w:bidi w:val="0"/>
              <w:spacing w:before="0" w:after="283"/>
              <w:jc w:val="left"/>
              <w:rPr/>
            </w:pPr>
            <w:r>
              <w:rPr/>
              <w:t> </w:t>
            </w:r>
          </w:p>
        </w:tc>
      </w:tr>
      <w:tr>
        <w:trPr/>
        <w:tc>
          <w:tcPr>
            <w:tcW w:w="3813"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3" w:type="dxa"/>
            <w:tcBorders/>
            <w:shd w:fill="B7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12"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to compute net income (loss) per share</w:t>
            </w:r>
          </w:p>
        </w:tc>
        <w:tc>
          <w:tcPr>
            <w:tcW w:w="24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r>
      <w:tr>
        <w:trPr/>
        <w:tc>
          <w:tcPr>
            <w:tcW w:w="3813" w:type="dxa"/>
            <w:tcBorders/>
            <w:shd w:fill="B7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12,416,524</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11,884,473</w:t>
            </w:r>
          </w:p>
        </w:tc>
        <w:tc>
          <w:tcPr>
            <w:tcW w:w="16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12,318,365</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c>
          <w:tcPr>
            <w:tcW w:w="104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11,850,151</w:t>
            </w:r>
          </w:p>
        </w:tc>
        <w:tc>
          <w:tcPr>
            <w:tcW w:w="312" w:type="dxa"/>
            <w:tcBorders/>
            <w:shd w:fill="B7DEE8" w:val="clear"/>
            <w:vAlign w:val="center"/>
          </w:tcPr>
          <w:p>
            <w:pPr>
              <w:pStyle w:val="TableContents"/>
              <w:bidi w:val="0"/>
              <w:spacing w:before="0" w:after="283"/>
              <w:jc w:val="left"/>
              <w:rPr/>
            </w:pPr>
            <w:r>
              <w:rPr/>
              <w:t> </w:t>
            </w:r>
          </w:p>
        </w:tc>
      </w:tr>
      <w:tr>
        <w:trPr/>
        <w:tc>
          <w:tcPr>
            <w:tcW w:w="3813"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13,543,648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11,884,473</w:t>
            </w:r>
          </w:p>
        </w:tc>
        <w:tc>
          <w:tcPr>
            <w:tcW w:w="16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13,433,461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11,850,151</w:t>
            </w:r>
          </w:p>
        </w:tc>
        <w:tc>
          <w:tcPr>
            <w:tcW w:w="312" w:type="dxa"/>
            <w:tcBorders/>
            <w:shd w:fill="FFFFFF" w:val="clear"/>
            <w:vAlign w:val="center"/>
          </w:tcPr>
          <w:p>
            <w:pPr>
              <w:pStyle w:val="TableContents"/>
              <w:bidi w:val="0"/>
              <w:spacing w:before="0" w:after="283"/>
              <w:jc w:val="left"/>
              <w:rPr/>
            </w:pPr>
            <w:r>
              <w:rPr/>
              <w:t> </w:t>
            </w:r>
          </w:p>
        </w:tc>
      </w:tr>
    </w:tbl>
    <w:p>
      <w:pPr>
        <w:pStyle w:val="TextBody"/>
        <w:bidi w:val="0"/>
        <w:spacing w:before="6"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Dave Inc.</w:t>
      </w:r>
    </w:p>
    <w:p>
      <w:pPr>
        <w:pStyle w:val="TextBody"/>
        <w:bidi w:val="0"/>
        <w:jc w:val="center"/>
        <w:rPr>
          <w:rFonts w:ascii="Times New Roman" w:hAnsi="Times New Roman"/>
          <w:b/>
          <w:color w:val="000000"/>
          <w:sz w:val="18"/>
        </w:rPr>
      </w:pPr>
      <w:bookmarkStart w:id="7" w:name="consolidatedstatementofcomprehensiveloss"/>
      <w:bookmarkEnd w:id="7"/>
      <w:r>
        <w:rPr>
          <w:rFonts w:ascii="Times New Roman" w:hAnsi="Times New Roman"/>
          <w:b/>
          <w:color w:val="000000"/>
          <w:sz w:val="18"/>
        </w:rPr>
        <w:t>Condensed Consolidated Statements of Comprehensive Income (loss)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22"/>
        <w:gridCol w:w="346"/>
        <w:gridCol w:w="314"/>
        <w:gridCol w:w="852"/>
        <w:gridCol w:w="217"/>
        <w:gridCol w:w="314"/>
        <w:gridCol w:w="1099"/>
        <w:gridCol w:w="166"/>
        <w:gridCol w:w="146"/>
        <w:gridCol w:w="268"/>
        <w:gridCol w:w="861"/>
        <w:gridCol w:w="211"/>
        <w:gridCol w:w="186"/>
        <w:gridCol w:w="268"/>
        <w:gridCol w:w="938"/>
        <w:gridCol w:w="397"/>
      </w:tblGrid>
      <w:tr>
        <w:trPr/>
        <w:tc>
          <w:tcPr>
            <w:tcW w:w="36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62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7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B6DEE8" w:val="clear"/>
            <w:vAlign w:val="center"/>
          </w:tcPr>
          <w:p>
            <w:pPr>
              <w:pStyle w:val="TableContents"/>
              <w:bidi w:val="0"/>
              <w:spacing w:before="0" w:after="283"/>
              <w:jc w:val="left"/>
              <w:rPr/>
            </w:pPr>
            <w:r>
              <w:rPr/>
              <w:t> </w:t>
            </w:r>
          </w:p>
        </w:tc>
        <w:tc>
          <w:tcPr>
            <w:tcW w:w="314"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217" w:type="dxa"/>
            <w:tcBorders/>
            <w:shd w:fill="B6DEE8" w:val="clear"/>
            <w:vAlign w:val="center"/>
          </w:tcPr>
          <w:p>
            <w:pPr>
              <w:pStyle w:val="TableContents"/>
              <w:bidi w:val="0"/>
              <w:spacing w:before="0" w:after="283"/>
              <w:jc w:val="left"/>
              <w:rPr/>
            </w:pPr>
            <w:r>
              <w:rPr/>
              <w:t> </w:t>
            </w:r>
          </w:p>
        </w:tc>
        <w:tc>
          <w:tcPr>
            <w:tcW w:w="314"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(22,618</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6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40,601</w:t>
            </w:r>
          </w:p>
        </w:tc>
        <w:tc>
          <w:tcPr>
            <w:tcW w:w="211" w:type="dxa"/>
            <w:tcBorders/>
            <w:shd w:fill="B6DEE8" w:val="clear"/>
            <w:vAlign w:val="center"/>
          </w:tcPr>
          <w:p>
            <w:pPr>
              <w:pStyle w:val="TableContents"/>
              <w:bidi w:val="0"/>
              <w:spacing w:before="0" w:after="283"/>
              <w:jc w:val="left"/>
              <w:rPr/>
            </w:pPr>
            <w:r>
              <w:rPr/>
              <w:t> </w:t>
            </w:r>
          </w:p>
        </w:tc>
        <w:tc>
          <w:tcPr>
            <w:tcW w:w="186" w:type="dxa"/>
            <w:tcBorders/>
            <w:shd w:fill="B6DEE8" w:val="clear"/>
            <w:vAlign w:val="center"/>
          </w:tcPr>
          <w:p>
            <w:pPr>
              <w:pStyle w:val="TableContents"/>
              <w:bidi w:val="0"/>
              <w:spacing w:before="0" w:after="283"/>
              <w:jc w:val="left"/>
              <w:rPr/>
            </w:pPr>
            <w:r>
              <w:rPr/>
              <w:t> </w:t>
            </w:r>
          </w:p>
        </w:tc>
        <w:tc>
          <w:tcPr>
            <w:tcW w:w="26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(36,643</w:t>
            </w:r>
          </w:p>
        </w:tc>
        <w:tc>
          <w:tcPr>
            <w:tcW w:w="397"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gain:</w:t>
            </w:r>
          </w:p>
        </w:tc>
        <w:tc>
          <w:tcPr>
            <w:tcW w:w="346" w:type="dxa"/>
            <w:tcBorders/>
            <w:shd w:fill="FFFFFF" w:val="clear"/>
            <w:vAlign w:val="center"/>
          </w:tcPr>
          <w:p>
            <w:pPr>
              <w:pStyle w:val="TableContents"/>
              <w:bidi w:val="0"/>
              <w:spacing w:before="0" w:after="283"/>
              <w:jc w:val="left"/>
              <w:rPr/>
            </w:pPr>
            <w:r>
              <w:rPr/>
              <w:t> </w:t>
            </w:r>
          </w:p>
        </w:tc>
        <w:tc>
          <w:tcPr>
            <w:tcW w:w="1166" w:type="dxa"/>
            <w:gridSpan w:val="2"/>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41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06" w:type="dxa"/>
            <w:gridSpan w:val="2"/>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3622" w:type="dxa"/>
            <w:tcBorders/>
            <w:shd w:fill="B6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346" w:type="dxa"/>
            <w:tcBorders/>
            <w:shd w:fill="B6DEE8" w:val="clear"/>
            <w:vAlign w:val="center"/>
          </w:tcPr>
          <w:p>
            <w:pPr>
              <w:pStyle w:val="TableContents"/>
              <w:bidi w:val="0"/>
              <w:spacing w:before="0" w:after="283"/>
              <w:ind w:left="200" w:right="0" w:firstLine="200"/>
              <w:jc w:val="left"/>
              <w:rPr/>
            </w:pPr>
            <w:r>
              <w:rPr/>
              <w:t> </w:t>
            </w:r>
          </w:p>
        </w:tc>
        <w:tc>
          <w:tcPr>
            <w:tcW w:w="31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B6DEE8" w:val="clear"/>
            <w:vAlign w:val="center"/>
          </w:tcPr>
          <w:p>
            <w:pPr>
              <w:pStyle w:val="TableContents"/>
              <w:bidi w:val="0"/>
              <w:spacing w:before="0" w:after="283"/>
              <w:jc w:val="left"/>
              <w:rPr/>
            </w:pPr>
            <w:r>
              <w:rPr/>
              <w:t> </w:t>
            </w:r>
          </w:p>
        </w:tc>
        <w:tc>
          <w:tcPr>
            <w:tcW w:w="26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39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62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3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6,431</w:t>
            </w:r>
          </w:p>
        </w:tc>
        <w:tc>
          <w:tcPr>
            <w:tcW w:w="217"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9"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(22,595</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40,027</w:t>
            </w:r>
          </w:p>
        </w:tc>
        <w:tc>
          <w:tcPr>
            <w:tcW w:w="211"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(35,837</w:t>
            </w:r>
          </w:p>
        </w:tc>
        <w:tc>
          <w:tcPr>
            <w:tcW w:w="39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2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66" w:type="dxa"/>
            <w:gridSpan w:val="2"/>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41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06" w:type="dxa"/>
            <w:gridSpan w:val="2"/>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statementstockholdersequity"/>
      <w:bookmarkEnd w:id="8"/>
      <w:r>
        <w:rPr>
          <w:rFonts w:ascii="Times New Roman" w:hAnsi="Times New Roman"/>
          <w:b/>
          <w:color w:val="000000"/>
          <w:sz w:val="20"/>
        </w:rPr>
        <w:t>Condensed Consolidated Statement of</w:t>
      </w:r>
      <w:r>
        <w:rPr>
          <w:rFonts w:ascii="Times New Roman" w:hAnsi="Times New Roman"/>
          <w:color w:val="000000"/>
          <w:sz w:val="20"/>
        </w:rPr>
        <w:t xml:space="preserve"> </w:t>
      </w: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623" w:type="dxa"/>
        <w:jc w:val="left"/>
        <w:tblInd w:w="0" w:type="dxa"/>
        <w:tblLayout w:type="fixed"/>
        <w:tblCellMar>
          <w:top w:w="28" w:type="dxa"/>
          <w:left w:w="28" w:type="dxa"/>
          <w:bottom w:w="28" w:type="dxa"/>
          <w:right w:w="28" w:type="dxa"/>
        </w:tblCellMar>
      </w:tblPr>
      <w:tblGrid>
        <w:gridCol w:w="1321"/>
        <w:gridCol w:w="146"/>
        <w:gridCol w:w="916"/>
        <w:gridCol w:w="146"/>
        <w:gridCol w:w="345"/>
        <w:gridCol w:w="346"/>
        <w:gridCol w:w="146"/>
        <w:gridCol w:w="146"/>
        <w:gridCol w:w="146"/>
        <w:gridCol w:w="826"/>
        <w:gridCol w:w="146"/>
        <w:gridCol w:w="374"/>
        <w:gridCol w:w="317"/>
        <w:gridCol w:w="146"/>
        <w:gridCol w:w="196"/>
        <w:gridCol w:w="691"/>
        <w:gridCol w:w="146"/>
        <w:gridCol w:w="146"/>
        <w:gridCol w:w="146"/>
        <w:gridCol w:w="363"/>
        <w:gridCol w:w="808"/>
        <w:gridCol w:w="166"/>
        <w:gridCol w:w="217"/>
        <w:gridCol w:w="834"/>
        <w:gridCol w:w="166"/>
        <w:gridCol w:w="235"/>
        <w:gridCol w:w="831"/>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center"/>
              <w:rPr/>
            </w:pPr>
            <w:r>
              <w:rPr/>
              <w:t> </w:t>
            </w:r>
          </w:p>
        </w:tc>
        <w:tc>
          <w:tcPr>
            <w:tcW w:w="4000" w:type="dxa"/>
            <w:gridSpan w:val="1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5"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2024</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10,634,173</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296,733</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363" w:type="dxa"/>
            <w:tcBorders/>
            <w:shd w:fill="B7DEE8" w:val="clear"/>
            <w:vAlign w:val="center"/>
          </w:tcPr>
          <w:p>
            <w:pPr>
              <w:pStyle w:val="TableContents"/>
              <w:bidi w:val="0"/>
              <w:spacing w:before="0" w:after="283"/>
              <w:jc w:val="left"/>
              <w:rPr/>
            </w:pPr>
            <w:r>
              <w:rPr/>
              <w:t> </w:t>
            </w:r>
          </w:p>
        </w:tc>
        <w:tc>
          <w:tcPr>
            <w:tcW w:w="808"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649</w:t>
            </w:r>
          </w:p>
        </w:tc>
        <w:tc>
          <w:tcPr>
            <w:tcW w:w="166" w:type="dxa"/>
            <w:tcBorders/>
            <w:shd w:fill="B7DEE8" w:val="clear"/>
            <w:vAlign w:val="center"/>
          </w:tcPr>
          <w:p>
            <w:pPr>
              <w:pStyle w:val="TableContents"/>
              <w:bidi w:val="0"/>
              <w:spacing w:before="0" w:after="283"/>
              <w:jc w:val="left"/>
              <w:rPr/>
            </w:pPr>
            <w:r>
              <w:rPr/>
              <w:t> </w:t>
            </w:r>
          </w:p>
        </w:tc>
        <w:tc>
          <w:tcPr>
            <w:tcW w:w="217" w:type="dxa"/>
            <w:tcBorders/>
            <w:shd w:fill="B7DEE8" w:val="clear"/>
            <w:vAlign w:val="center"/>
          </w:tcPr>
          <w:p>
            <w:pPr>
              <w:pStyle w:val="TableContents"/>
              <w:bidi w:val="0"/>
              <w:spacing w:before="0" w:after="283"/>
              <w:jc w:val="left"/>
              <w:rPr/>
            </w:pPr>
            <w:r>
              <w:rPr/>
              <w:t> </w:t>
            </w:r>
          </w:p>
        </w:tc>
        <w:tc>
          <w:tcPr>
            <w:tcW w:w="834"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(210,320</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shd w:fill="B7DEE8" w:val="clear"/>
            <w:vAlign w:val="center"/>
          </w:tcPr>
          <w:p>
            <w:pPr>
              <w:pStyle w:val="TableContents"/>
              <w:bidi w:val="0"/>
              <w:spacing w:before="0" w:after="283"/>
              <w:jc w:val="left"/>
              <w:rPr/>
            </w:pPr>
            <w:r>
              <w:rPr/>
              <w:t> </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87,063</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in connection with stock plans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465,554</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831</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13,836</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363" w:type="dxa"/>
            <w:tcBorders/>
            <w:shd w:fill="B7DEE8" w:val="clear"/>
            <w:vAlign w:val="center"/>
          </w:tcPr>
          <w:p>
            <w:pPr>
              <w:pStyle w:val="TableContents"/>
              <w:bidi w:val="0"/>
              <w:spacing w:before="0" w:after="283"/>
              <w:jc w:val="left"/>
              <w:rPr/>
            </w:pPr>
            <w:r>
              <w:rPr/>
              <w:t> </w:t>
            </w:r>
          </w:p>
        </w:tc>
        <w:tc>
          <w:tcPr>
            <w:tcW w:w="808"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1051" w:type="dxa"/>
            <w:gridSpan w:val="2"/>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vAlign w:val="center"/>
          </w:tcPr>
          <w:p>
            <w:pPr>
              <w:pStyle w:val="TableContents"/>
              <w:bidi w:val="0"/>
              <w:spacing w:before="0" w:after="283"/>
              <w:jc w:val="right"/>
              <w:rPr/>
            </w:pPr>
            <w:r>
              <w:rPr/>
              <w:t> </w:t>
            </w:r>
          </w:p>
        </w:tc>
        <w:tc>
          <w:tcPr>
            <w:tcW w:w="235" w:type="dxa"/>
            <w:tcBorders/>
            <w:shd w:fill="B7DEE8" w:val="clear"/>
            <w:vAlign w:val="center"/>
          </w:tcPr>
          <w:p>
            <w:pPr>
              <w:pStyle w:val="TableContents"/>
              <w:bidi w:val="0"/>
              <w:spacing w:before="0" w:after="283"/>
              <w:jc w:val="left"/>
              <w:rPr/>
            </w:pPr>
            <w:r>
              <w:rPr/>
              <w:t> </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13,836</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1"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(574</w:t>
            </w:r>
          </w:p>
        </w:tc>
        <w:tc>
          <w:tcPr>
            <w:tcW w:w="21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40,601</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40,601</w:t>
            </w:r>
          </w:p>
        </w:tc>
        <w:tc>
          <w:tcPr>
            <w:tcW w:w="2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11,099,727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311,400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(169,719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141,757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643" w:type="dxa"/>
        <w:jc w:val="left"/>
        <w:tblInd w:w="0" w:type="dxa"/>
        <w:tblLayout w:type="fixed"/>
        <w:tblCellMar>
          <w:top w:w="28" w:type="dxa"/>
          <w:left w:w="28" w:type="dxa"/>
          <w:bottom w:w="28" w:type="dxa"/>
          <w:right w:w="28" w:type="dxa"/>
        </w:tblCellMar>
      </w:tblPr>
      <w:tblGrid>
        <w:gridCol w:w="1321"/>
        <w:gridCol w:w="146"/>
        <w:gridCol w:w="916"/>
        <w:gridCol w:w="146"/>
        <w:gridCol w:w="345"/>
        <w:gridCol w:w="346"/>
        <w:gridCol w:w="146"/>
        <w:gridCol w:w="146"/>
        <w:gridCol w:w="146"/>
        <w:gridCol w:w="826"/>
        <w:gridCol w:w="146"/>
        <w:gridCol w:w="374"/>
        <w:gridCol w:w="317"/>
        <w:gridCol w:w="146"/>
        <w:gridCol w:w="196"/>
        <w:gridCol w:w="691"/>
        <w:gridCol w:w="166"/>
        <w:gridCol w:w="146"/>
        <w:gridCol w:w="146"/>
        <w:gridCol w:w="299"/>
        <w:gridCol w:w="872"/>
        <w:gridCol w:w="166"/>
        <w:gridCol w:w="217"/>
        <w:gridCol w:w="834"/>
        <w:gridCol w:w="166"/>
        <w:gridCol w:w="235"/>
        <w:gridCol w:w="831"/>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center"/>
              <w:rPr/>
            </w:pPr>
            <w:r>
              <w:rPr/>
              <w:t> </w:t>
            </w:r>
          </w:p>
        </w:tc>
        <w:tc>
          <w:tcPr>
            <w:tcW w:w="4000" w:type="dxa"/>
            <w:gridSpan w:val="1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5"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2023</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10,284,657</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270,037</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299"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2"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(1,675</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(161,803</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106,560</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in connection with stock plans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136,494</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for fractional shares after reverse stock split</w:t>
            </w:r>
          </w:p>
        </w:tc>
        <w:tc>
          <w:tcPr>
            <w:tcW w:w="1062" w:type="dxa"/>
            <w:gridSpan w:val="2"/>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691" w:type="dxa"/>
            <w:gridSpan w:val="2"/>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972" w:type="dxa"/>
            <w:gridSpan w:val="2"/>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691" w:type="dxa"/>
            <w:gridSpan w:val="2"/>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171" w:type="dxa"/>
            <w:gridSpan w:val="2"/>
            <w:tcBorders/>
            <w:shd w:fill="B7DEE8" w:val="clear"/>
            <w:vAlign w:val="center"/>
          </w:tcPr>
          <w:p>
            <w:pPr>
              <w:pStyle w:val="TableContents"/>
              <w:bidi w:val="0"/>
              <w:spacing w:before="0" w:after="283"/>
              <w:jc w:val="right"/>
              <w:rPr/>
            </w:pPr>
            <w:r>
              <w:rPr/>
              <w:t> </w:t>
            </w:r>
          </w:p>
        </w:tc>
        <w:tc>
          <w:tcPr>
            <w:tcW w:w="166" w:type="dxa"/>
            <w:tcBorders/>
            <w:shd w:fill="B7DEE8" w:val="clear"/>
            <w:vAlign w:val="center"/>
          </w:tcPr>
          <w:p>
            <w:pPr>
              <w:pStyle w:val="TableContents"/>
              <w:bidi w:val="0"/>
              <w:spacing w:before="0" w:after="283"/>
              <w:jc w:val="right"/>
              <w:rPr/>
            </w:pPr>
            <w:r>
              <w:rPr/>
              <w:t> </w:t>
            </w:r>
          </w:p>
        </w:tc>
        <w:tc>
          <w:tcPr>
            <w:tcW w:w="1051" w:type="dxa"/>
            <w:gridSpan w:val="2"/>
            <w:tcBorders/>
            <w:shd w:fill="B7DEE8" w:val="clear"/>
            <w:vAlign w:val="center"/>
          </w:tcPr>
          <w:p>
            <w:pPr>
              <w:pStyle w:val="TableContents"/>
              <w:bidi w:val="0"/>
              <w:spacing w:before="0" w:after="283"/>
              <w:jc w:val="right"/>
              <w:rPr/>
            </w:pPr>
            <w:r>
              <w:rPr/>
              <w:t> </w:t>
            </w:r>
          </w:p>
        </w:tc>
        <w:tc>
          <w:tcPr>
            <w:tcW w:w="166" w:type="dxa"/>
            <w:tcBorders/>
            <w:shd w:fill="B7DEE8" w:val="clear"/>
            <w:vAlign w:val="center"/>
          </w:tcPr>
          <w:p>
            <w:pPr>
              <w:pStyle w:val="TableContents"/>
              <w:bidi w:val="0"/>
              <w:spacing w:before="0" w:after="283"/>
              <w:jc w:val="right"/>
              <w:rPr/>
            </w:pPr>
            <w:r>
              <w:rPr/>
              <w:t> </w:t>
            </w:r>
          </w:p>
        </w:tc>
        <w:tc>
          <w:tcPr>
            <w:tcW w:w="235" w:type="dxa"/>
            <w:tcBorders/>
            <w:shd w:fill="B7DEE8" w:val="clear"/>
            <w:vAlign w:val="center"/>
          </w:tcPr>
          <w:p>
            <w:pPr>
              <w:pStyle w:val="TableContents"/>
              <w:bidi w:val="0"/>
              <w:spacing w:before="0" w:after="283"/>
              <w:jc w:val="left"/>
              <w:rPr/>
            </w:pPr>
            <w:r>
              <w:rPr/>
              <w:t> </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w:t>
            </w:r>
          </w:p>
        </w:tc>
        <w:tc>
          <w:tcPr>
            <w:tcW w:w="21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13,406</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available-for-sale securities</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299" w:type="dxa"/>
            <w:tcBorders/>
            <w:shd w:fill="B7DEE8" w:val="clear"/>
            <w:vAlign w:val="center"/>
          </w:tcPr>
          <w:p>
            <w:pPr>
              <w:pStyle w:val="TableContents"/>
              <w:bidi w:val="0"/>
              <w:spacing w:before="0" w:after="283"/>
              <w:jc w:val="left"/>
              <w:rPr/>
            </w:pPr>
            <w:r>
              <w:rPr/>
              <w:t> </w:t>
            </w:r>
          </w:p>
        </w:tc>
        <w:tc>
          <w:tcPr>
            <w:tcW w:w="872"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w:t>
            </w:r>
          </w:p>
        </w:tc>
        <w:tc>
          <w:tcPr>
            <w:tcW w:w="166" w:type="dxa"/>
            <w:tcBorders/>
            <w:shd w:fill="B7DEE8" w:val="clear"/>
            <w:vAlign w:val="center"/>
          </w:tcPr>
          <w:p>
            <w:pPr>
              <w:pStyle w:val="TableContents"/>
              <w:bidi w:val="0"/>
              <w:spacing w:before="0" w:after="283"/>
              <w:jc w:val="left"/>
              <w:rPr/>
            </w:pPr>
            <w:r>
              <w:rPr/>
              <w:t> </w:t>
            </w:r>
          </w:p>
        </w:tc>
        <w:tc>
          <w:tcPr>
            <w:tcW w:w="217" w:type="dxa"/>
            <w:tcBorders/>
            <w:shd w:fill="B7DEE8" w:val="clear"/>
            <w:vAlign w:val="center"/>
          </w:tcPr>
          <w:p>
            <w:pPr>
              <w:pStyle w:val="TableContents"/>
              <w:bidi w:val="0"/>
              <w:spacing w:before="0" w:after="283"/>
              <w:jc w:val="left"/>
              <w:rPr/>
            </w:pPr>
            <w:r>
              <w:rPr/>
              <w:t> </w:t>
            </w:r>
          </w:p>
        </w:tc>
        <w:tc>
          <w:tcPr>
            <w:tcW w:w="834"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35" w:type="dxa"/>
            <w:tcBorders/>
            <w:shd w:fill="B7DEE8" w:val="clear"/>
            <w:vAlign w:val="center"/>
          </w:tcPr>
          <w:p>
            <w:pPr>
              <w:pStyle w:val="TableContents"/>
              <w:bidi w:val="0"/>
              <w:spacing w:before="0" w:after="283"/>
              <w:jc w:val="left"/>
              <w:rPr/>
            </w:pPr>
            <w:r>
              <w:rPr/>
              <w:t> </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806</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(36,643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2023</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10,421,151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283,432</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(869</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(198,446</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84,118</w:t>
            </w:r>
          </w:p>
        </w:tc>
        <w:tc>
          <w:tcPr>
            <w:tcW w:w="21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583" w:type="dxa"/>
        <w:jc w:val="left"/>
        <w:tblInd w:w="0" w:type="dxa"/>
        <w:tblLayout w:type="fixed"/>
        <w:tblCellMar>
          <w:top w:w="28" w:type="dxa"/>
          <w:left w:w="28" w:type="dxa"/>
          <w:bottom w:w="28" w:type="dxa"/>
          <w:right w:w="28" w:type="dxa"/>
        </w:tblCellMar>
      </w:tblPr>
      <w:tblGrid>
        <w:gridCol w:w="1321"/>
        <w:gridCol w:w="146"/>
        <w:gridCol w:w="916"/>
        <w:gridCol w:w="146"/>
        <w:gridCol w:w="345"/>
        <w:gridCol w:w="346"/>
        <w:gridCol w:w="146"/>
        <w:gridCol w:w="146"/>
        <w:gridCol w:w="146"/>
        <w:gridCol w:w="826"/>
        <w:gridCol w:w="146"/>
        <w:gridCol w:w="374"/>
        <w:gridCol w:w="317"/>
        <w:gridCol w:w="146"/>
        <w:gridCol w:w="196"/>
        <w:gridCol w:w="691"/>
        <w:gridCol w:w="146"/>
        <w:gridCol w:w="146"/>
        <w:gridCol w:w="146"/>
        <w:gridCol w:w="476"/>
        <w:gridCol w:w="695"/>
        <w:gridCol w:w="146"/>
        <w:gridCol w:w="217"/>
        <w:gridCol w:w="834"/>
        <w:gridCol w:w="166"/>
        <w:gridCol w:w="235"/>
        <w:gridCol w:w="831"/>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center"/>
              <w:rPr/>
            </w:pPr>
            <w:r>
              <w:rPr/>
              <w:t> </w:t>
            </w:r>
          </w:p>
        </w:tc>
        <w:tc>
          <w:tcPr>
            <w:tcW w:w="4000" w:type="dxa"/>
            <w:gridSpan w:val="1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5"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19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10,819,723</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303,387</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476" w:type="dxa"/>
            <w:tcBorders/>
            <w:shd w:fill="B7DEE8" w:val="clear"/>
            <w:vAlign w:val="center"/>
          </w:tcPr>
          <w:p>
            <w:pPr>
              <w:pStyle w:val="TableContents"/>
              <w:bidi w:val="0"/>
              <w:spacing w:before="0" w:after="283"/>
              <w:jc w:val="left"/>
              <w:rPr/>
            </w:pPr>
            <w:r>
              <w:rPr/>
              <w:t> </w:t>
            </w:r>
          </w:p>
        </w:tc>
        <w:tc>
          <w:tcPr>
            <w:tcW w:w="695"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shd w:fill="B7DEE8" w:val="clear"/>
            <w:vAlign w:val="center"/>
          </w:tcPr>
          <w:p>
            <w:pPr>
              <w:pStyle w:val="TableContents"/>
              <w:bidi w:val="0"/>
              <w:spacing w:before="0" w:after="283"/>
              <w:jc w:val="left"/>
              <w:rPr/>
            </w:pPr>
            <w:r>
              <w:rPr/>
              <w:t> </w:t>
            </w:r>
          </w:p>
        </w:tc>
        <w:tc>
          <w:tcPr>
            <w:tcW w:w="217" w:type="dxa"/>
            <w:tcBorders/>
            <w:shd w:fill="B7DEE8" w:val="clear"/>
            <w:vAlign w:val="center"/>
          </w:tcPr>
          <w:p>
            <w:pPr>
              <w:pStyle w:val="TableContents"/>
              <w:bidi w:val="0"/>
              <w:spacing w:before="0" w:after="283"/>
              <w:jc w:val="left"/>
              <w:rPr/>
            </w:pPr>
            <w:r>
              <w:rPr/>
              <w:t> </w:t>
            </w:r>
          </w:p>
        </w:tc>
        <w:tc>
          <w:tcPr>
            <w:tcW w:w="834"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(176,077</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shd w:fill="B7DEE8" w:val="clear"/>
            <w:vAlign w:val="center"/>
          </w:tcPr>
          <w:p>
            <w:pPr>
              <w:pStyle w:val="TableContents"/>
              <w:bidi w:val="0"/>
              <w:spacing w:before="0" w:after="283"/>
              <w:jc w:val="left"/>
              <w:rPr/>
            </w:pPr>
            <w:r>
              <w:rPr/>
              <w:t> </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127,314</w:t>
            </w:r>
          </w:p>
        </w:tc>
        <w:tc>
          <w:tcPr>
            <w:tcW w:w="19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in connection with stock plans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280,004</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307</w:t>
            </w:r>
          </w:p>
        </w:tc>
        <w:tc>
          <w:tcPr>
            <w:tcW w:w="19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7,706</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476" w:type="dxa"/>
            <w:tcBorders/>
            <w:shd w:fill="B7DEE8" w:val="clear"/>
            <w:vAlign w:val="center"/>
          </w:tcPr>
          <w:p>
            <w:pPr>
              <w:pStyle w:val="TableContents"/>
              <w:bidi w:val="0"/>
              <w:spacing w:before="0" w:after="283"/>
              <w:jc w:val="left"/>
              <w:rPr/>
            </w:pPr>
            <w:r>
              <w:rPr/>
              <w:t> </w:t>
            </w:r>
          </w:p>
        </w:tc>
        <w:tc>
          <w:tcPr>
            <w:tcW w:w="695"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051" w:type="dxa"/>
            <w:gridSpan w:val="2"/>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vAlign w:val="center"/>
          </w:tcPr>
          <w:p>
            <w:pPr>
              <w:pStyle w:val="TableContents"/>
              <w:bidi w:val="0"/>
              <w:spacing w:before="0" w:after="283"/>
              <w:jc w:val="right"/>
              <w:rPr/>
            </w:pPr>
            <w:r>
              <w:rPr/>
              <w:t> </w:t>
            </w:r>
          </w:p>
        </w:tc>
        <w:tc>
          <w:tcPr>
            <w:tcW w:w="235" w:type="dxa"/>
            <w:tcBorders/>
            <w:shd w:fill="B7DEE8" w:val="clear"/>
            <w:vAlign w:val="center"/>
          </w:tcPr>
          <w:p>
            <w:pPr>
              <w:pStyle w:val="TableContents"/>
              <w:bidi w:val="0"/>
              <w:spacing w:before="0" w:after="283"/>
              <w:jc w:val="left"/>
              <w:rPr/>
            </w:pPr>
            <w:r>
              <w:rPr/>
              <w:t> </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7,706</w:t>
            </w:r>
          </w:p>
        </w:tc>
        <w:tc>
          <w:tcPr>
            <w:tcW w:w="19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w:t>
            </w:r>
          </w:p>
        </w:tc>
        <w:tc>
          <w:tcPr>
            <w:tcW w:w="19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6,358</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6,358</w:t>
            </w:r>
          </w:p>
        </w:tc>
        <w:tc>
          <w:tcPr>
            <w:tcW w:w="19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11,099,727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311,400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(169,719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141,757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623" w:type="dxa"/>
        <w:jc w:val="left"/>
        <w:tblInd w:w="0" w:type="dxa"/>
        <w:tblLayout w:type="fixed"/>
        <w:tblCellMar>
          <w:top w:w="28" w:type="dxa"/>
          <w:left w:w="28" w:type="dxa"/>
          <w:bottom w:w="28" w:type="dxa"/>
          <w:right w:w="28" w:type="dxa"/>
        </w:tblCellMar>
      </w:tblPr>
      <w:tblGrid>
        <w:gridCol w:w="1321"/>
        <w:gridCol w:w="146"/>
        <w:gridCol w:w="916"/>
        <w:gridCol w:w="146"/>
        <w:gridCol w:w="345"/>
        <w:gridCol w:w="346"/>
        <w:gridCol w:w="146"/>
        <w:gridCol w:w="146"/>
        <w:gridCol w:w="146"/>
        <w:gridCol w:w="826"/>
        <w:gridCol w:w="146"/>
        <w:gridCol w:w="374"/>
        <w:gridCol w:w="317"/>
        <w:gridCol w:w="146"/>
        <w:gridCol w:w="196"/>
        <w:gridCol w:w="691"/>
        <w:gridCol w:w="146"/>
        <w:gridCol w:w="146"/>
        <w:gridCol w:w="146"/>
        <w:gridCol w:w="363"/>
        <w:gridCol w:w="808"/>
        <w:gridCol w:w="166"/>
        <w:gridCol w:w="217"/>
        <w:gridCol w:w="834"/>
        <w:gridCol w:w="166"/>
        <w:gridCol w:w="235"/>
        <w:gridCol w:w="831"/>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center"/>
              <w:rPr/>
            </w:pPr>
            <w:r>
              <w:rPr/>
              <w:t> </w:t>
            </w:r>
          </w:p>
        </w:tc>
        <w:tc>
          <w:tcPr>
            <w:tcW w:w="4000" w:type="dxa"/>
            <w:gridSpan w:val="1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5"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2023</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10,352,968</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276,799</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363"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8"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(892</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(175,828</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100,080</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in connection with stock plans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68,183</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6,632</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363" w:type="dxa"/>
            <w:tcBorders/>
            <w:shd w:fill="B7DEE8" w:val="clear"/>
            <w:vAlign w:val="center"/>
          </w:tcPr>
          <w:p>
            <w:pPr>
              <w:pStyle w:val="TableContents"/>
              <w:bidi w:val="0"/>
              <w:spacing w:before="0" w:after="283"/>
              <w:jc w:val="left"/>
              <w:rPr/>
            </w:pPr>
            <w:r>
              <w:rPr/>
              <w:t> </w:t>
            </w:r>
          </w:p>
        </w:tc>
        <w:tc>
          <w:tcPr>
            <w:tcW w:w="808"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17" w:type="dxa"/>
            <w:tcBorders/>
            <w:shd w:fill="B7DEE8" w:val="clear"/>
            <w:vAlign w:val="center"/>
          </w:tcPr>
          <w:p>
            <w:pPr>
              <w:pStyle w:val="TableContents"/>
              <w:bidi w:val="0"/>
              <w:spacing w:before="0" w:after="283"/>
              <w:jc w:val="left"/>
              <w:rPr/>
            </w:pPr>
            <w:r>
              <w:rPr/>
              <w:t> </w:t>
            </w:r>
          </w:p>
        </w:tc>
        <w:tc>
          <w:tcPr>
            <w:tcW w:w="834"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35" w:type="dxa"/>
            <w:tcBorders/>
            <w:shd w:fill="B7DEE8" w:val="clear"/>
            <w:vAlign w:val="center"/>
          </w:tcPr>
          <w:p>
            <w:pPr>
              <w:pStyle w:val="TableContents"/>
              <w:bidi w:val="0"/>
              <w:spacing w:before="0" w:after="283"/>
              <w:jc w:val="left"/>
              <w:rPr/>
            </w:pPr>
            <w:r>
              <w:rPr/>
              <w:t> </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6,632</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(22,618</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(22,618</w:t>
            </w:r>
          </w:p>
        </w:tc>
        <w:tc>
          <w:tcPr>
            <w:tcW w:w="2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10,421,151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283,432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(198,446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84,118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sz w:val="20"/>
        </w:rPr>
      </w:pPr>
      <w:bookmarkStart w:id="9" w:name="consolidatedstatementsofcashflows"/>
      <w:bookmarkEnd w:id="9"/>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473"/>
        <w:gridCol w:w="346"/>
        <w:gridCol w:w="278"/>
        <w:gridCol w:w="1032"/>
        <w:gridCol w:w="219"/>
        <w:gridCol w:w="192"/>
        <w:gridCol w:w="278"/>
        <w:gridCol w:w="972"/>
        <w:gridCol w:w="415"/>
      </w:tblGrid>
      <w:tr>
        <w:trPr/>
        <w:tc>
          <w:tcPr>
            <w:tcW w:w="64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647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97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415" w:type="dxa"/>
            <w:tcBorders/>
            <w:shd w:fill="FFFFFF" w:val="clear"/>
            <w:vAlign w:val="center"/>
          </w:tcPr>
          <w:p>
            <w:pPr>
              <w:pStyle w:val="TableContents"/>
              <w:bidi w:val="0"/>
              <w:spacing w:before="0" w:after="283"/>
              <w:jc w:val="center"/>
              <w:rPr/>
            </w:pPr>
            <w:r>
              <w:rPr/>
              <w:t> </w:t>
            </w:r>
          </w:p>
        </w:tc>
      </w:tr>
      <w:tr>
        <w:trPr/>
        <w:tc>
          <w:tcPr>
            <w:tcW w:w="647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center"/>
              <w:rPr/>
            </w:pPr>
            <w:r>
              <w:rPr/>
              <w:t> </w:t>
            </w:r>
          </w:p>
        </w:tc>
        <w:tc>
          <w:tcPr>
            <w:tcW w:w="12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47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10" w:type="dxa"/>
            <w:gridSpan w:val="2"/>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center"/>
              <w:rPr/>
            </w:pPr>
            <w:r>
              <w:rPr/>
              <w:t> </w:t>
            </w:r>
          </w:p>
        </w:tc>
        <w:tc>
          <w:tcPr>
            <w:tcW w:w="1250" w:type="dxa"/>
            <w:gridSpan w:val="2"/>
            <w:tcBorders/>
            <w:shd w:fill="FFFFFF" w:val="clear"/>
            <w:vAlign w:val="center"/>
          </w:tcPr>
          <w:p>
            <w:pPr>
              <w:pStyle w:val="TableContents"/>
              <w:bidi w:val="0"/>
              <w:spacing w:before="0" w:after="283"/>
              <w:jc w:val="center"/>
              <w:rPr/>
            </w:pPr>
            <w:r>
              <w:rPr/>
              <w:t> </w:t>
            </w:r>
          </w:p>
        </w:tc>
        <w:tc>
          <w:tcPr>
            <w:tcW w:w="415" w:type="dxa"/>
            <w:tcBorders/>
            <w:shd w:fill="FFFFFF" w:val="clear"/>
            <w:vAlign w:val="center"/>
          </w:tcPr>
          <w:p>
            <w:pPr>
              <w:pStyle w:val="TableContents"/>
              <w:bidi w:val="0"/>
              <w:spacing w:before="0" w:after="283"/>
              <w:jc w:val="center"/>
              <w:rPr/>
            </w:pPr>
            <w:r>
              <w:rPr/>
              <w:t> </w:t>
            </w:r>
          </w:p>
        </w:tc>
      </w:tr>
      <w:tr>
        <w:trPr/>
        <w:tc>
          <w:tcPr>
            <w:tcW w:w="647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346" w:type="dxa"/>
            <w:tcBorders/>
            <w:shd w:fill="B7DEE8" w:val="clear"/>
            <w:vAlign w:val="center"/>
          </w:tcPr>
          <w:p>
            <w:pPr>
              <w:pStyle w:val="TableContents"/>
              <w:bidi w:val="0"/>
              <w:spacing w:before="0" w:after="283"/>
              <w:jc w:val="left"/>
              <w:rPr/>
            </w:pPr>
            <w:r>
              <w:rPr/>
              <w:t> </w:t>
            </w:r>
          </w:p>
        </w:tc>
        <w:tc>
          <w:tcPr>
            <w:tcW w:w="1310" w:type="dxa"/>
            <w:gridSpan w:val="2"/>
            <w:tcBorders/>
            <w:shd w:fill="B7DEE8" w:val="clear"/>
            <w:vAlign w:val="center"/>
          </w:tcPr>
          <w:p>
            <w:pPr>
              <w:pStyle w:val="TableContents"/>
              <w:bidi w:val="0"/>
              <w:spacing w:before="0" w:after="283"/>
              <w:jc w:val="left"/>
              <w:rPr/>
            </w:pPr>
            <w:r>
              <w:rPr/>
              <w:t> </w:t>
            </w:r>
          </w:p>
        </w:tc>
        <w:tc>
          <w:tcPr>
            <w:tcW w:w="219" w:type="dxa"/>
            <w:tcBorders/>
            <w:shd w:fill="B7DEE8" w:val="cle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1250" w:type="dxa"/>
            <w:gridSpan w:val="2"/>
            <w:tcBorders/>
            <w:shd w:fill="B7DEE8" w:val="clear"/>
            <w:vAlign w:val="center"/>
          </w:tcPr>
          <w:p>
            <w:pPr>
              <w:pStyle w:val="TableContents"/>
              <w:bidi w:val="0"/>
              <w:spacing w:before="0" w:after="283"/>
              <w:jc w:val="left"/>
              <w:rPr/>
            </w:pPr>
            <w:r>
              <w:rPr/>
              <w:t> </w:t>
            </w:r>
          </w:p>
        </w:tc>
        <w:tc>
          <w:tcPr>
            <w:tcW w:w="415" w:type="dxa"/>
            <w:tcBorders/>
            <w:shd w:fill="B7DEE8" w:val="clear"/>
            <w:vAlign w:val="center"/>
          </w:tcPr>
          <w:p>
            <w:pPr>
              <w:pStyle w:val="TableContents"/>
              <w:bidi w:val="0"/>
              <w:spacing w:before="0" w:after="283"/>
              <w:jc w:val="left"/>
              <w:rPr/>
            </w:pPr>
            <w:r>
              <w:rPr/>
              <w:t> </w:t>
            </w:r>
          </w:p>
        </w:tc>
      </w:tr>
      <w:tr>
        <w:trPr/>
        <w:tc>
          <w:tcPr>
            <w:tcW w:w="64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40,601</w:t>
            </w:r>
          </w:p>
        </w:tc>
        <w:tc>
          <w:tcPr>
            <w:tcW w:w="219"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(36,643</w:t>
            </w:r>
          </w:p>
        </w:tc>
        <w:tc>
          <w:tcPr>
            <w:tcW w:w="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to reconcile net income (loss) to net cash used in operating activities:</w:t>
            </w:r>
          </w:p>
        </w:tc>
        <w:tc>
          <w:tcPr>
            <w:tcW w:w="346" w:type="dxa"/>
            <w:tcBorders/>
            <w:shd w:fill="B7DEE8" w:val="clear"/>
            <w:vAlign w:val="center"/>
          </w:tcPr>
          <w:p>
            <w:pPr>
              <w:pStyle w:val="TableContents"/>
              <w:bidi w:val="0"/>
              <w:spacing w:before="0" w:after="283"/>
              <w:jc w:val="left"/>
              <w:rPr/>
            </w:pPr>
            <w:r>
              <w:rPr/>
              <w:t> </w:t>
            </w:r>
          </w:p>
        </w:tc>
        <w:tc>
          <w:tcPr>
            <w:tcW w:w="1310" w:type="dxa"/>
            <w:gridSpan w:val="2"/>
            <w:tcBorders/>
            <w:shd w:fill="B7DEE8" w:val="clear"/>
            <w:vAlign w:val="center"/>
          </w:tcPr>
          <w:p>
            <w:pPr>
              <w:pStyle w:val="TableContents"/>
              <w:bidi w:val="0"/>
              <w:spacing w:before="0" w:after="283"/>
              <w:jc w:val="left"/>
              <w:rPr/>
            </w:pPr>
            <w:r>
              <w:rPr/>
              <w:t> </w:t>
            </w:r>
          </w:p>
        </w:tc>
        <w:tc>
          <w:tcPr>
            <w:tcW w:w="219" w:type="dxa"/>
            <w:tcBorders/>
            <w:shd w:fill="B7DEE8" w:val="cle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1250" w:type="dxa"/>
            <w:gridSpan w:val="2"/>
            <w:tcBorders/>
            <w:shd w:fill="B7DEE8" w:val="clear"/>
            <w:vAlign w:val="center"/>
          </w:tcPr>
          <w:p>
            <w:pPr>
              <w:pStyle w:val="TableContents"/>
              <w:bidi w:val="0"/>
              <w:spacing w:before="0" w:after="283"/>
              <w:jc w:val="left"/>
              <w:rPr/>
            </w:pPr>
            <w:r>
              <w:rPr/>
              <w:t> </w:t>
            </w:r>
          </w:p>
        </w:tc>
        <w:tc>
          <w:tcPr>
            <w:tcW w:w="415" w:type="dxa"/>
            <w:tcBorders/>
            <w:shd w:fill="B7DEE8" w:val="clear"/>
            <w:vAlign w:val="center"/>
          </w:tcPr>
          <w:p>
            <w:pPr>
              <w:pStyle w:val="TableContents"/>
              <w:bidi w:val="0"/>
              <w:spacing w:before="0" w:after="283"/>
              <w:ind w:left="0" w:right="0" w:firstLine="200"/>
              <w:jc w:val="left"/>
              <w:rPr/>
            </w:pPr>
            <w:r>
              <w:rPr/>
              <w:t> </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219"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647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78" w:type="dxa"/>
            <w:tcBorders/>
            <w:shd w:fill="B7DEE8" w:val="clear"/>
            <w:vAlign w:val="center"/>
          </w:tcPr>
          <w:p>
            <w:pPr>
              <w:pStyle w:val="TableContents"/>
              <w:bidi w:val="0"/>
              <w:spacing w:before="0" w:after="283"/>
              <w:jc w:val="left"/>
              <w:rPr/>
            </w:pPr>
            <w:r>
              <w:rPr/>
              <w:t> </w:t>
            </w:r>
          </w:p>
        </w:tc>
        <w:tc>
          <w:tcPr>
            <w:tcW w:w="103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24,308</w:t>
            </w:r>
          </w:p>
        </w:tc>
        <w:tc>
          <w:tcPr>
            <w:tcW w:w="219" w:type="dxa"/>
            <w:tcBorders/>
            <w:shd w:fill="B7DEE8" w:val="cle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278" w:type="dxa"/>
            <w:tcBorders/>
            <w:shd w:fill="B7DEE8" w:val="clear"/>
            <w:vAlign w:val="center"/>
          </w:tcPr>
          <w:p>
            <w:pPr>
              <w:pStyle w:val="TableContents"/>
              <w:bidi w:val="0"/>
              <w:spacing w:before="0" w:after="283"/>
              <w:jc w:val="left"/>
              <w:rPr/>
            </w:pPr>
            <w:r>
              <w:rPr/>
              <w:t> </w:t>
            </w:r>
          </w:p>
        </w:tc>
        <w:tc>
          <w:tcPr>
            <w:tcW w:w="97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27,878</w:t>
            </w:r>
          </w:p>
        </w:tc>
        <w:tc>
          <w:tcPr>
            <w:tcW w:w="415" w:type="dxa"/>
            <w:tcBorders/>
            <w:shd w:fill="B7DEE8" w:val="clear"/>
            <w:vAlign w:val="center"/>
          </w:tcPr>
          <w:p>
            <w:pPr>
              <w:pStyle w:val="TableContents"/>
              <w:bidi w:val="0"/>
              <w:spacing w:before="0" w:after="283"/>
              <w:ind w:left="0" w:right="0" w:firstLine="200"/>
              <w:jc w:val="left"/>
              <w:rPr/>
            </w:pPr>
            <w:r>
              <w:rPr/>
              <w:t> </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19"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78" w:type="dxa"/>
            <w:tcBorders/>
            <w:shd w:fill="B7DEE8" w:val="clear"/>
            <w:vAlign w:val="center"/>
          </w:tcPr>
          <w:p>
            <w:pPr>
              <w:pStyle w:val="TableContents"/>
              <w:bidi w:val="0"/>
              <w:spacing w:before="0" w:after="283"/>
              <w:jc w:val="left"/>
              <w:rPr/>
            </w:pPr>
            <w:r>
              <w:rPr/>
              <w:t> </w:t>
            </w:r>
          </w:p>
        </w:tc>
        <w:tc>
          <w:tcPr>
            <w:tcW w:w="103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19" w:type="dxa"/>
            <w:tcBorders/>
            <w:shd w:fill="B7DEE8" w:val="cle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278" w:type="dxa"/>
            <w:tcBorders/>
            <w:shd w:fill="B7DEE8" w:val="clear"/>
            <w:vAlign w:val="center"/>
          </w:tcPr>
          <w:p>
            <w:pPr>
              <w:pStyle w:val="TableContents"/>
              <w:bidi w:val="0"/>
              <w:spacing w:before="0" w:after="283"/>
              <w:jc w:val="left"/>
              <w:rPr/>
            </w:pPr>
            <w:r>
              <w:rPr/>
              <w:t> </w:t>
            </w:r>
          </w:p>
        </w:tc>
        <w:tc>
          <w:tcPr>
            <w:tcW w:w="97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5" w:type="dxa"/>
            <w:tcBorders/>
            <w:shd w:fill="B7DEE8" w:val="clear"/>
            <w:vAlign w:val="center"/>
          </w:tcPr>
          <w:p>
            <w:pPr>
              <w:pStyle w:val="TableContents"/>
              <w:bidi w:val="0"/>
              <w:spacing w:before="0" w:after="283"/>
              <w:ind w:left="0" w:right="0" w:firstLine="200"/>
              <w:jc w:val="left"/>
              <w:rPr/>
            </w:pPr>
            <w:r>
              <w:rPr/>
              <w:t> </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extinguishment of convertible debt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647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78" w:type="dxa"/>
            <w:tcBorders/>
            <w:shd w:fill="B7DEE8" w:val="clear"/>
            <w:vAlign w:val="center"/>
          </w:tcPr>
          <w:p>
            <w:pPr>
              <w:pStyle w:val="TableContents"/>
              <w:bidi w:val="0"/>
              <w:spacing w:before="0" w:after="283"/>
              <w:jc w:val="left"/>
              <w:rPr/>
            </w:pPr>
            <w:r>
              <w:rPr/>
              <w:t> </w:t>
            </w:r>
          </w:p>
        </w:tc>
        <w:tc>
          <w:tcPr>
            <w:tcW w:w="103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w:t>
            </w:r>
          </w:p>
        </w:tc>
        <w:tc>
          <w:tcPr>
            <w:tcW w:w="219" w:type="dxa"/>
            <w:tcBorders/>
            <w:shd w:fill="B7DEE8" w:val="cle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278" w:type="dxa"/>
            <w:tcBorders/>
            <w:shd w:fill="B7DEE8" w:val="clear"/>
            <w:vAlign w:val="center"/>
          </w:tcPr>
          <w:p>
            <w:pPr>
              <w:pStyle w:val="TableContents"/>
              <w:bidi w:val="0"/>
              <w:spacing w:before="0" w:after="283"/>
              <w:jc w:val="left"/>
              <w:rPr/>
            </w:pPr>
            <w:r>
              <w:rPr/>
              <w:t> </w:t>
            </w:r>
          </w:p>
        </w:tc>
        <w:tc>
          <w:tcPr>
            <w:tcW w:w="97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13,406</w:t>
            </w:r>
          </w:p>
        </w:tc>
        <w:tc>
          <w:tcPr>
            <w:tcW w:w="415" w:type="dxa"/>
            <w:tcBorders/>
            <w:shd w:fill="B7DEE8" w:val="clear"/>
            <w:vAlign w:val="center"/>
          </w:tcPr>
          <w:p>
            <w:pPr>
              <w:pStyle w:val="TableContents"/>
              <w:bidi w:val="0"/>
              <w:spacing w:before="0" w:after="283"/>
              <w:ind w:left="0" w:right="0" w:firstLine="200"/>
              <w:jc w:val="left"/>
              <w:rPr/>
            </w:pPr>
            <w:r>
              <w:rPr/>
              <w:t> </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9"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647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78" w:type="dxa"/>
            <w:tcBorders/>
            <w:shd w:fill="B7DEE8" w:val="clear"/>
            <w:vAlign w:val="center"/>
          </w:tcPr>
          <w:p>
            <w:pPr>
              <w:pStyle w:val="TableContents"/>
              <w:bidi w:val="0"/>
              <w:spacing w:before="0" w:after="283"/>
              <w:jc w:val="left"/>
              <w:rPr/>
            </w:pPr>
            <w:r>
              <w:rPr/>
              <w:t> </w:t>
            </w:r>
          </w:p>
        </w:tc>
        <w:tc>
          <w:tcPr>
            <w:tcW w:w="103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9"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B7DEE8" w:val="clear"/>
            <w:vAlign w:val="center"/>
          </w:tcPr>
          <w:p>
            <w:pPr>
              <w:pStyle w:val="TableContents"/>
              <w:bidi w:val="0"/>
              <w:spacing w:before="0" w:after="283"/>
              <w:jc w:val="left"/>
              <w:rPr/>
            </w:pPr>
            <w:r>
              <w:rPr/>
              <w:t> </w:t>
            </w:r>
          </w:p>
        </w:tc>
        <w:tc>
          <w:tcPr>
            <w:tcW w:w="278" w:type="dxa"/>
            <w:tcBorders/>
            <w:shd w:fill="B7DEE8" w:val="clear"/>
            <w:vAlign w:val="center"/>
          </w:tcPr>
          <w:p>
            <w:pPr>
              <w:pStyle w:val="TableContents"/>
              <w:bidi w:val="0"/>
              <w:spacing w:before="0" w:after="283"/>
              <w:jc w:val="left"/>
              <w:rPr/>
            </w:pPr>
            <w:r>
              <w:rPr/>
              <w:t> </w:t>
            </w:r>
          </w:p>
        </w:tc>
        <w:tc>
          <w:tcPr>
            <w:tcW w:w="97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5"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marketable securities and investments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415" w:type="dxa"/>
            <w:tcBorders/>
            <w:shd w:fill="FFFFFF" w:val="clear"/>
            <w:vAlign w:val="center"/>
          </w:tcPr>
          <w:p>
            <w:pPr>
              <w:pStyle w:val="TableContents"/>
              <w:bidi w:val="0"/>
              <w:spacing w:before="0" w:after="283"/>
              <w:jc w:val="left"/>
              <w:rPr/>
            </w:pPr>
            <w:r>
              <w:rPr/>
              <w:t> </w:t>
            </w:r>
          </w:p>
        </w:tc>
      </w:tr>
      <w:tr>
        <w:trPr/>
        <w:tc>
          <w:tcPr>
            <w:tcW w:w="647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346" w:type="dxa"/>
            <w:tcBorders/>
            <w:shd w:fill="B7DEE8" w:val="clear"/>
            <w:vAlign w:val="center"/>
          </w:tcPr>
          <w:p>
            <w:pPr>
              <w:pStyle w:val="TableContents"/>
              <w:bidi w:val="0"/>
              <w:spacing w:before="0" w:after="283"/>
              <w:jc w:val="left"/>
              <w:rPr/>
            </w:pPr>
            <w:r>
              <w:rPr/>
              <w:t> </w:t>
            </w:r>
          </w:p>
        </w:tc>
        <w:tc>
          <w:tcPr>
            <w:tcW w:w="1310" w:type="dxa"/>
            <w:gridSpan w:val="2"/>
            <w:tcBorders/>
            <w:shd w:fill="B7DEE8" w:val="clear"/>
            <w:vAlign w:val="center"/>
          </w:tcPr>
          <w:p>
            <w:pPr>
              <w:pStyle w:val="TableContents"/>
              <w:bidi w:val="0"/>
              <w:spacing w:before="0" w:after="283"/>
              <w:jc w:val="left"/>
              <w:rPr/>
            </w:pPr>
            <w:r>
              <w:rPr/>
              <w:t> </w:t>
            </w:r>
          </w:p>
        </w:tc>
        <w:tc>
          <w:tcPr>
            <w:tcW w:w="219" w:type="dxa"/>
            <w:tcBorders/>
            <w:shd w:fill="B7DEE8" w:val="cle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1250" w:type="dxa"/>
            <w:gridSpan w:val="2"/>
            <w:tcBorders/>
            <w:shd w:fill="B7DEE8" w:val="clear"/>
            <w:vAlign w:val="center"/>
          </w:tcPr>
          <w:p>
            <w:pPr>
              <w:pStyle w:val="TableContents"/>
              <w:bidi w:val="0"/>
              <w:spacing w:before="0" w:after="283"/>
              <w:jc w:val="left"/>
              <w:rPr/>
            </w:pPr>
            <w:r>
              <w:rPr/>
              <w:t> </w:t>
            </w:r>
          </w:p>
        </w:tc>
        <w:tc>
          <w:tcPr>
            <w:tcW w:w="415" w:type="dxa"/>
            <w:tcBorders/>
            <w:shd w:fill="B7DEE8" w:val="clear"/>
            <w:vAlign w:val="center"/>
          </w:tcPr>
          <w:p>
            <w:pPr>
              <w:pStyle w:val="TableContents"/>
              <w:bidi w:val="0"/>
              <w:spacing w:before="0" w:after="283"/>
              <w:ind w:left="0" w:right="0" w:firstLine="200"/>
              <w:jc w:val="left"/>
              <w:rPr/>
            </w:pPr>
            <w:r>
              <w:rPr/>
              <w:t> </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Member advances, service based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647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income taxes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78" w:type="dxa"/>
            <w:tcBorders/>
            <w:shd w:fill="B7DEE8" w:val="clear"/>
            <w:vAlign w:val="center"/>
          </w:tcPr>
          <w:p>
            <w:pPr>
              <w:pStyle w:val="TableContents"/>
              <w:bidi w:val="0"/>
              <w:spacing w:before="0" w:after="283"/>
              <w:jc w:val="left"/>
              <w:rPr/>
            </w:pPr>
            <w:r>
              <w:rPr/>
              <w:t> </w:t>
            </w:r>
          </w:p>
        </w:tc>
        <w:tc>
          <w:tcPr>
            <w:tcW w:w="103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19" w:type="dxa"/>
            <w:tcBorders/>
            <w:shd w:fill="B7DEE8" w:val="cle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278" w:type="dxa"/>
            <w:tcBorders/>
            <w:shd w:fill="B7DEE8" w:val="clear"/>
            <w:vAlign w:val="center"/>
          </w:tcPr>
          <w:p>
            <w:pPr>
              <w:pStyle w:val="TableContents"/>
              <w:bidi w:val="0"/>
              <w:spacing w:before="0" w:after="283"/>
              <w:jc w:val="left"/>
              <w:rPr/>
            </w:pPr>
            <w:r>
              <w:rPr/>
              <w:t> </w:t>
            </w:r>
          </w:p>
        </w:tc>
        <w:tc>
          <w:tcPr>
            <w:tcW w:w="97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5" w:type="dxa"/>
            <w:tcBorders/>
            <w:shd w:fill="B7DEE8" w:val="clear"/>
            <w:vAlign w:val="center"/>
          </w:tcPr>
          <w:p>
            <w:pPr>
              <w:pStyle w:val="TableContents"/>
              <w:bidi w:val="0"/>
              <w:spacing w:before="0" w:after="283"/>
              <w:ind w:left="0" w:right="0" w:firstLine="200"/>
              <w:jc w:val="left"/>
              <w:rPr/>
            </w:pPr>
            <w:r>
              <w:rPr/>
              <w:t> </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4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78" w:type="dxa"/>
            <w:tcBorders/>
            <w:shd w:fill="B7DEE8" w:val="clear"/>
            <w:vAlign w:val="center"/>
          </w:tcPr>
          <w:p>
            <w:pPr>
              <w:pStyle w:val="TableContents"/>
              <w:bidi w:val="0"/>
              <w:spacing w:before="0" w:after="283"/>
              <w:jc w:val="left"/>
              <w:rPr/>
            </w:pPr>
            <w:r>
              <w:rPr/>
              <w:t> </w:t>
            </w:r>
          </w:p>
        </w:tc>
        <w:tc>
          <w:tcPr>
            <w:tcW w:w="103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219" w:type="dxa"/>
            <w:tcBorders/>
            <w:shd w:fill="B7DEE8" w:val="cle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278" w:type="dxa"/>
            <w:tcBorders/>
            <w:shd w:fill="B7DEE8" w:val="clear"/>
            <w:vAlign w:val="center"/>
          </w:tcPr>
          <w:p>
            <w:pPr>
              <w:pStyle w:val="TableContents"/>
              <w:bidi w:val="0"/>
              <w:spacing w:before="0" w:after="283"/>
              <w:jc w:val="left"/>
              <w:rPr/>
            </w:pPr>
            <w:r>
              <w:rPr/>
              <w:t> </w:t>
            </w:r>
          </w:p>
        </w:tc>
        <w:tc>
          <w:tcPr>
            <w:tcW w:w="97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w:t>
            </w:r>
          </w:p>
        </w:tc>
        <w:tc>
          <w:tcPr>
            <w:tcW w:w="415"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647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 accrual</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78" w:type="dxa"/>
            <w:tcBorders/>
            <w:shd w:fill="B7DEE8" w:val="clear"/>
            <w:vAlign w:val="center"/>
          </w:tcPr>
          <w:p>
            <w:pPr>
              <w:pStyle w:val="TableContents"/>
              <w:bidi w:val="0"/>
              <w:spacing w:before="0" w:after="283"/>
              <w:jc w:val="left"/>
              <w:rPr/>
            </w:pPr>
            <w:r>
              <w:rPr/>
              <w:t> </w:t>
            </w:r>
          </w:p>
        </w:tc>
        <w:tc>
          <w:tcPr>
            <w:tcW w:w="103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219"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B7DEE8" w:val="clear"/>
            <w:vAlign w:val="center"/>
          </w:tcPr>
          <w:p>
            <w:pPr>
              <w:pStyle w:val="TableContents"/>
              <w:bidi w:val="0"/>
              <w:spacing w:before="0" w:after="283"/>
              <w:jc w:val="left"/>
              <w:rPr/>
            </w:pPr>
            <w:r>
              <w:rPr/>
              <w:t> </w:t>
            </w:r>
          </w:p>
        </w:tc>
        <w:tc>
          <w:tcPr>
            <w:tcW w:w="278" w:type="dxa"/>
            <w:tcBorders/>
            <w:shd w:fill="B7DEE8" w:val="clear"/>
            <w:vAlign w:val="center"/>
          </w:tcPr>
          <w:p>
            <w:pPr>
              <w:pStyle w:val="TableContents"/>
              <w:bidi w:val="0"/>
              <w:spacing w:before="0" w:after="283"/>
              <w:jc w:val="left"/>
              <w:rPr/>
            </w:pPr>
            <w:r>
              <w:rPr/>
              <w:t> </w:t>
            </w:r>
          </w:p>
        </w:tc>
        <w:tc>
          <w:tcPr>
            <w:tcW w:w="97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415"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219"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4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78" w:type="dxa"/>
            <w:tcBorders/>
            <w:shd w:fill="B7DEE8" w:val="clear"/>
            <w:vAlign w:val="center"/>
          </w:tcPr>
          <w:p>
            <w:pPr>
              <w:pStyle w:val="TableContents"/>
              <w:bidi w:val="0"/>
              <w:spacing w:before="0" w:after="283"/>
              <w:jc w:val="left"/>
              <w:rPr/>
            </w:pPr>
            <w:r>
              <w:rPr/>
              <w:t> </w:t>
            </w:r>
          </w:p>
        </w:tc>
        <w:tc>
          <w:tcPr>
            <w:tcW w:w="103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219" w:type="dxa"/>
            <w:tcBorders/>
            <w:shd w:fill="B7DEE8" w:val="cle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278" w:type="dxa"/>
            <w:tcBorders/>
            <w:shd w:fill="B7DEE8" w:val="clear"/>
            <w:vAlign w:val="center"/>
          </w:tcPr>
          <w:p>
            <w:pPr>
              <w:pStyle w:val="TableContents"/>
              <w:bidi w:val="0"/>
              <w:spacing w:before="0" w:after="283"/>
              <w:jc w:val="left"/>
              <w:rPr/>
            </w:pPr>
            <w:r>
              <w:rPr/>
              <w:t> </w:t>
            </w:r>
          </w:p>
        </w:tc>
        <w:tc>
          <w:tcPr>
            <w:tcW w:w="97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5" w:type="dxa"/>
            <w:tcBorders/>
            <w:shd w:fill="B7DEE8" w:val="clear"/>
            <w:vAlign w:val="center"/>
          </w:tcPr>
          <w:p>
            <w:pPr>
              <w:pStyle w:val="TableContents"/>
              <w:bidi w:val="0"/>
              <w:spacing w:before="0" w:after="283"/>
              <w:ind w:left="0" w:right="0" w:firstLine="200"/>
              <w:jc w:val="left"/>
              <w:rPr/>
            </w:pPr>
            <w:r>
              <w:rPr/>
              <w:t> </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346" w:type="dxa"/>
            <w:tcBorders/>
            <w:shd w:fill="B7DEE8" w:val="clear"/>
            <w:vAlign w:val="center"/>
          </w:tcPr>
          <w:p>
            <w:pPr>
              <w:pStyle w:val="TableContents"/>
              <w:bidi w:val="0"/>
              <w:spacing w:before="0" w:after="283"/>
              <w:jc w:val="left"/>
              <w:rPr/>
            </w:pPr>
            <w:r>
              <w:rPr/>
              <w:t> </w:t>
            </w:r>
          </w:p>
        </w:tc>
        <w:tc>
          <w:tcPr>
            <w:tcW w:w="2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46,391</w:t>
            </w:r>
          </w:p>
        </w:tc>
        <w:tc>
          <w:tcPr>
            <w:tcW w:w="21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2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2,752</w:t>
            </w:r>
          </w:p>
        </w:tc>
        <w:tc>
          <w:tcPr>
            <w:tcW w:w="41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647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10" w:type="dxa"/>
            <w:gridSpan w:val="2"/>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50" w:type="dxa"/>
            <w:gridSpan w:val="2"/>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r>
      <w:tr>
        <w:trPr/>
        <w:tc>
          <w:tcPr>
            <w:tcW w:w="647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346" w:type="dxa"/>
            <w:tcBorders/>
            <w:shd w:fill="B7DEE8" w:val="clear"/>
            <w:vAlign w:val="center"/>
          </w:tcPr>
          <w:p>
            <w:pPr>
              <w:pStyle w:val="TableContents"/>
              <w:bidi w:val="0"/>
              <w:spacing w:before="0" w:after="283"/>
              <w:jc w:val="left"/>
              <w:rPr/>
            </w:pPr>
            <w:r>
              <w:rPr/>
              <w:t> </w:t>
            </w:r>
          </w:p>
        </w:tc>
        <w:tc>
          <w:tcPr>
            <w:tcW w:w="1310" w:type="dxa"/>
            <w:gridSpan w:val="2"/>
            <w:tcBorders/>
            <w:shd w:fill="B7DEE8" w:val="clear"/>
            <w:vAlign w:val="center"/>
          </w:tcPr>
          <w:p>
            <w:pPr>
              <w:pStyle w:val="TableContents"/>
              <w:bidi w:val="0"/>
              <w:spacing w:before="0" w:after="283"/>
              <w:jc w:val="left"/>
              <w:rPr/>
            </w:pPr>
            <w:r>
              <w:rPr/>
              <w:t> </w:t>
            </w:r>
          </w:p>
        </w:tc>
        <w:tc>
          <w:tcPr>
            <w:tcW w:w="219" w:type="dxa"/>
            <w:tcBorders/>
            <w:shd w:fill="B7DEE8" w:val="cle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1250" w:type="dxa"/>
            <w:gridSpan w:val="2"/>
            <w:tcBorders/>
            <w:shd w:fill="B7DEE8" w:val="clear"/>
            <w:vAlign w:val="center"/>
          </w:tcPr>
          <w:p>
            <w:pPr>
              <w:pStyle w:val="TableContents"/>
              <w:bidi w:val="0"/>
              <w:spacing w:before="0" w:after="283"/>
              <w:jc w:val="left"/>
              <w:rPr/>
            </w:pPr>
            <w:r>
              <w:rPr/>
              <w:t> </w:t>
            </w:r>
          </w:p>
        </w:tc>
        <w:tc>
          <w:tcPr>
            <w:tcW w:w="415" w:type="dxa"/>
            <w:tcBorders/>
            <w:shd w:fill="B7DEE8" w:val="clear"/>
            <w:vAlign w:val="center"/>
          </w:tcPr>
          <w:p>
            <w:pPr>
              <w:pStyle w:val="TableContents"/>
              <w:bidi w:val="0"/>
              <w:spacing w:before="0" w:after="283"/>
              <w:ind w:left="0" w:right="0" w:firstLine="200"/>
              <w:jc w:val="left"/>
              <w:rPr/>
            </w:pPr>
            <w:r>
              <w:rPr/>
              <w:t> </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internally developed software costs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w:t>
            </w:r>
          </w:p>
        </w:tc>
        <w:tc>
          <w:tcPr>
            <w:tcW w:w="4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78" w:type="dxa"/>
            <w:tcBorders/>
            <w:shd w:fill="B7DEE8" w:val="clear"/>
            <w:vAlign w:val="center"/>
          </w:tcPr>
          <w:p>
            <w:pPr>
              <w:pStyle w:val="TableContents"/>
              <w:bidi w:val="0"/>
              <w:spacing w:before="0" w:after="283"/>
              <w:jc w:val="left"/>
              <w:rPr/>
            </w:pPr>
            <w:r>
              <w:rPr/>
              <w:t> </w:t>
            </w:r>
          </w:p>
        </w:tc>
        <w:tc>
          <w:tcPr>
            <w:tcW w:w="103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9"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B7DEE8" w:val="clear"/>
            <w:vAlign w:val="center"/>
          </w:tcPr>
          <w:p>
            <w:pPr>
              <w:pStyle w:val="TableContents"/>
              <w:bidi w:val="0"/>
              <w:spacing w:before="0" w:after="283"/>
              <w:jc w:val="left"/>
              <w:rPr/>
            </w:pPr>
            <w:r>
              <w:rPr/>
              <w:t> </w:t>
            </w:r>
          </w:p>
        </w:tc>
        <w:tc>
          <w:tcPr>
            <w:tcW w:w="278" w:type="dxa"/>
            <w:tcBorders/>
            <w:shd w:fill="B7DEE8" w:val="clear"/>
            <w:vAlign w:val="center"/>
          </w:tcPr>
          <w:p>
            <w:pPr>
              <w:pStyle w:val="TableContents"/>
              <w:bidi w:val="0"/>
              <w:spacing w:before="0" w:after="283"/>
              <w:jc w:val="left"/>
              <w:rPr/>
            </w:pPr>
            <w:r>
              <w:rPr/>
              <w:t> </w:t>
            </w:r>
          </w:p>
        </w:tc>
        <w:tc>
          <w:tcPr>
            <w:tcW w:w="97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415"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disbursements and collections of Member advances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(38,653</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w:t>
            </w:r>
          </w:p>
        </w:tc>
        <w:tc>
          <w:tcPr>
            <w:tcW w:w="4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78" w:type="dxa"/>
            <w:tcBorders/>
            <w:shd w:fill="B7DEE8" w:val="clear"/>
            <w:vAlign w:val="center"/>
          </w:tcPr>
          <w:p>
            <w:pPr>
              <w:pStyle w:val="TableContents"/>
              <w:bidi w:val="0"/>
              <w:spacing w:before="0" w:after="283"/>
              <w:jc w:val="left"/>
              <w:rPr/>
            </w:pPr>
            <w:r>
              <w:rPr/>
              <w:t> </w:t>
            </w:r>
          </w:p>
        </w:tc>
        <w:tc>
          <w:tcPr>
            <w:tcW w:w="103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(48,524</w:t>
            </w:r>
          </w:p>
        </w:tc>
        <w:tc>
          <w:tcPr>
            <w:tcW w:w="219"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B7DEE8" w:val="clear"/>
            <w:vAlign w:val="center"/>
          </w:tcPr>
          <w:p>
            <w:pPr>
              <w:pStyle w:val="TableContents"/>
              <w:bidi w:val="0"/>
              <w:spacing w:before="0" w:after="283"/>
              <w:jc w:val="left"/>
              <w:rPr/>
            </w:pPr>
            <w:r>
              <w:rPr/>
              <w:t> </w:t>
            </w:r>
          </w:p>
        </w:tc>
        <w:tc>
          <w:tcPr>
            <w:tcW w:w="278" w:type="dxa"/>
            <w:tcBorders/>
            <w:shd w:fill="B7DEE8" w:val="clear"/>
            <w:vAlign w:val="center"/>
          </w:tcPr>
          <w:p>
            <w:pPr>
              <w:pStyle w:val="TableContents"/>
              <w:bidi w:val="0"/>
              <w:spacing w:before="0" w:after="283"/>
              <w:jc w:val="left"/>
              <w:rPr/>
            </w:pPr>
            <w:r>
              <w:rPr/>
              <w:t> </w:t>
            </w:r>
          </w:p>
        </w:tc>
        <w:tc>
          <w:tcPr>
            <w:tcW w:w="97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(54,422</w:t>
            </w:r>
          </w:p>
        </w:tc>
        <w:tc>
          <w:tcPr>
            <w:tcW w:w="415"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and maturity of investments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121,841</w:t>
            </w:r>
          </w:p>
        </w:tc>
        <w:tc>
          <w:tcPr>
            <w:tcW w:w="219"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98,747</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647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78" w:type="dxa"/>
            <w:tcBorders/>
            <w:shd w:fill="B7DEE8" w:val="clear"/>
            <w:vAlign w:val="center"/>
          </w:tcPr>
          <w:p>
            <w:pPr>
              <w:pStyle w:val="TableContents"/>
              <w:bidi w:val="0"/>
              <w:spacing w:before="0" w:after="283"/>
              <w:jc w:val="left"/>
              <w:rPr/>
            </w:pPr>
            <w:r>
              <w:rPr/>
              <w:t> </w:t>
            </w:r>
          </w:p>
        </w:tc>
        <w:tc>
          <w:tcPr>
            <w:tcW w:w="103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(59,177</w:t>
            </w:r>
          </w:p>
        </w:tc>
        <w:tc>
          <w:tcPr>
            <w:tcW w:w="219"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B7DEE8" w:val="clear"/>
            <w:vAlign w:val="center"/>
          </w:tcPr>
          <w:p>
            <w:pPr>
              <w:pStyle w:val="TableContents"/>
              <w:bidi w:val="0"/>
              <w:spacing w:before="0" w:after="283"/>
              <w:jc w:val="left"/>
              <w:rPr/>
            </w:pPr>
            <w:r>
              <w:rPr/>
              <w:t> </w:t>
            </w:r>
          </w:p>
        </w:tc>
        <w:tc>
          <w:tcPr>
            <w:tcW w:w="278" w:type="dxa"/>
            <w:tcBorders/>
            <w:shd w:fill="B7DEE8" w:val="clear"/>
            <w:vAlign w:val="center"/>
          </w:tcPr>
          <w:p>
            <w:pPr>
              <w:pStyle w:val="TableContents"/>
              <w:bidi w:val="0"/>
              <w:spacing w:before="0" w:after="283"/>
              <w:jc w:val="left"/>
              <w:rPr/>
            </w:pPr>
            <w:r>
              <w:rPr/>
              <w:t> </w:t>
            </w:r>
          </w:p>
        </w:tc>
        <w:tc>
          <w:tcPr>
            <w:tcW w:w="97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(34,345</w:t>
            </w:r>
          </w:p>
        </w:tc>
        <w:tc>
          <w:tcPr>
            <w:tcW w:w="415"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of marketable securities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60,034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31,423</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investing activities</w:t>
            </w:r>
          </w:p>
        </w:tc>
        <w:tc>
          <w:tcPr>
            <w:tcW w:w="346" w:type="dxa"/>
            <w:tcBorders/>
            <w:shd w:fill="B7DEE8" w:val="clear"/>
            <w:vAlign w:val="center"/>
          </w:tcPr>
          <w:p>
            <w:pPr>
              <w:pStyle w:val="TableContents"/>
              <w:bidi w:val="0"/>
              <w:spacing w:before="0" w:after="283"/>
              <w:jc w:val="left"/>
              <w:rPr/>
            </w:pPr>
            <w:r>
              <w:rPr/>
              <w:t> </w:t>
            </w:r>
          </w:p>
        </w:tc>
        <w:tc>
          <w:tcPr>
            <w:tcW w:w="2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31,607</w:t>
            </w:r>
          </w:p>
        </w:tc>
        <w:tc>
          <w:tcPr>
            <w:tcW w:w="21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2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23,716</w:t>
            </w:r>
          </w:p>
        </w:tc>
        <w:tc>
          <w:tcPr>
            <w:tcW w:w="41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6473"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pPr>
            <w:r>
              <w:rPr/>
              <w:t> </w:t>
            </w:r>
          </w:p>
        </w:tc>
        <w:tc>
          <w:tcPr>
            <w:tcW w:w="1310" w:type="dxa"/>
            <w:gridSpan w:val="2"/>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50" w:type="dxa"/>
            <w:gridSpan w:val="2"/>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r>
      <w:tr>
        <w:trPr/>
        <w:tc>
          <w:tcPr>
            <w:tcW w:w="647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346" w:type="dxa"/>
            <w:tcBorders/>
            <w:shd w:fill="B7DEE8" w:val="clear"/>
            <w:vAlign w:val="center"/>
          </w:tcPr>
          <w:p>
            <w:pPr>
              <w:pStyle w:val="TableContents"/>
              <w:bidi w:val="0"/>
              <w:spacing w:before="0" w:after="283"/>
              <w:jc w:val="left"/>
              <w:rPr/>
            </w:pPr>
            <w:r>
              <w:rPr/>
              <w:t> </w:t>
            </w:r>
          </w:p>
        </w:tc>
        <w:tc>
          <w:tcPr>
            <w:tcW w:w="1310" w:type="dxa"/>
            <w:gridSpan w:val="2"/>
            <w:tcBorders/>
            <w:shd w:fill="B7DEE8" w:val="clear"/>
            <w:vAlign w:val="center"/>
          </w:tcPr>
          <w:p>
            <w:pPr>
              <w:pStyle w:val="TableContents"/>
              <w:bidi w:val="0"/>
              <w:spacing w:before="0" w:after="283"/>
              <w:jc w:val="left"/>
              <w:rPr/>
            </w:pPr>
            <w:r>
              <w:rPr/>
              <w:t> </w:t>
            </w:r>
          </w:p>
        </w:tc>
        <w:tc>
          <w:tcPr>
            <w:tcW w:w="219" w:type="dxa"/>
            <w:tcBorders/>
            <w:shd w:fill="B7DEE8" w:val="cle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1250" w:type="dxa"/>
            <w:gridSpan w:val="2"/>
            <w:tcBorders/>
            <w:shd w:fill="B7DEE8" w:val="clear"/>
            <w:vAlign w:val="center"/>
          </w:tcPr>
          <w:p>
            <w:pPr>
              <w:pStyle w:val="TableContents"/>
              <w:bidi w:val="0"/>
              <w:spacing w:before="0" w:after="283"/>
              <w:jc w:val="left"/>
              <w:rPr/>
            </w:pPr>
            <w:r>
              <w:rPr/>
              <w:t> </w:t>
            </w:r>
          </w:p>
        </w:tc>
        <w:tc>
          <w:tcPr>
            <w:tcW w:w="415" w:type="dxa"/>
            <w:tcBorders/>
            <w:shd w:fill="B7DEE8" w:val="clear"/>
            <w:vAlign w:val="center"/>
          </w:tcPr>
          <w:p>
            <w:pPr>
              <w:pStyle w:val="TableContents"/>
              <w:bidi w:val="0"/>
              <w:spacing w:before="0" w:after="283"/>
              <w:ind w:left="0" w:right="0" w:firstLine="200"/>
              <w:jc w:val="left"/>
              <w:rPr/>
            </w:pPr>
            <w:r>
              <w:rPr/>
              <w:t> </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for fractional shares on reverse stock split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9"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for stock option exercises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78" w:type="dxa"/>
            <w:tcBorders/>
            <w:shd w:fill="B7DEE8" w:val="clear"/>
            <w:vAlign w:val="center"/>
          </w:tcPr>
          <w:p>
            <w:pPr>
              <w:pStyle w:val="TableContents"/>
              <w:bidi w:val="0"/>
              <w:spacing w:before="0" w:after="283"/>
              <w:jc w:val="left"/>
              <w:rPr/>
            </w:pPr>
            <w:r>
              <w:rPr/>
              <w:t> </w:t>
            </w:r>
          </w:p>
        </w:tc>
        <w:tc>
          <w:tcPr>
            <w:tcW w:w="103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219" w:type="dxa"/>
            <w:tcBorders/>
            <w:shd w:fill="B7DEE8" w:val="cle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278" w:type="dxa"/>
            <w:tcBorders/>
            <w:shd w:fill="B7DEE8" w:val="clear"/>
            <w:vAlign w:val="center"/>
          </w:tcPr>
          <w:p>
            <w:pPr>
              <w:pStyle w:val="TableContents"/>
              <w:bidi w:val="0"/>
              <w:spacing w:before="0" w:after="283"/>
              <w:jc w:val="left"/>
              <w:rPr/>
            </w:pPr>
            <w:r>
              <w:rPr/>
              <w:t> </w:t>
            </w:r>
          </w:p>
        </w:tc>
        <w:tc>
          <w:tcPr>
            <w:tcW w:w="97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5" w:type="dxa"/>
            <w:tcBorders/>
            <w:shd w:fill="B7DEE8" w:val="clear"/>
            <w:vAlign w:val="center"/>
          </w:tcPr>
          <w:p>
            <w:pPr>
              <w:pStyle w:val="TableContents"/>
              <w:bidi w:val="0"/>
              <w:spacing w:before="0" w:after="283"/>
              <w:ind w:left="0" w:right="0" w:firstLine="200"/>
              <w:jc w:val="left"/>
              <w:rPr/>
            </w:pPr>
            <w:r>
              <w:rPr/>
              <w:t> </w:t>
            </w:r>
          </w:p>
        </w:tc>
      </w:tr>
      <w:tr>
        <w:trPr/>
        <w:tc>
          <w:tcPr>
            <w:tcW w:w="647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costs for extinguishment of convertible debt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647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borrowings on convertible debt, long-term</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(71,000</w:t>
            </w:r>
          </w:p>
        </w:tc>
        <w:tc>
          <w:tcPr>
            <w:tcW w:w="21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B7DEE8" w:val="clear"/>
            <w:vAlign w:val="center"/>
          </w:tcPr>
          <w:p>
            <w:pPr>
              <w:pStyle w:val="TableContents"/>
              <w:bidi w:val="0"/>
              <w:spacing w:before="0" w:after="283"/>
              <w:jc w:val="left"/>
              <w:rPr/>
            </w:pPr>
            <w:r>
              <w:rPr/>
              <w:t> </w:t>
            </w:r>
          </w:p>
        </w:tc>
        <w:tc>
          <w:tcPr>
            <w:tcW w:w="2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647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financing activities</w:t>
            </w:r>
          </w:p>
        </w:tc>
        <w:tc>
          <w:tcPr>
            <w:tcW w:w="346"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(70,930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73"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left"/>
              <w:rPr/>
            </w:pPr>
            <w:r>
              <w:rPr/>
              <w:t> </w:t>
            </w:r>
          </w:p>
        </w:tc>
        <w:tc>
          <w:tcPr>
            <w:tcW w:w="1310" w:type="dxa"/>
            <w:gridSpan w:val="2"/>
            <w:tcBorders/>
            <w:shd w:fill="B7DEE8" w:val="clear"/>
            <w:vAlign w:val="center"/>
          </w:tcPr>
          <w:p>
            <w:pPr>
              <w:pStyle w:val="TableContents"/>
              <w:bidi w:val="0"/>
              <w:spacing w:before="0" w:after="283"/>
              <w:jc w:val="left"/>
              <w:rPr/>
            </w:pPr>
            <w:r>
              <w:rPr/>
              <w:t> </w:t>
            </w:r>
          </w:p>
        </w:tc>
        <w:tc>
          <w:tcPr>
            <w:tcW w:w="219" w:type="dxa"/>
            <w:tcBorders/>
            <w:shd w:fill="B7DEE8" w:val="cle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1250" w:type="dxa"/>
            <w:gridSpan w:val="2"/>
            <w:tcBorders/>
            <w:shd w:fill="B7DEE8" w:val="clear"/>
            <w:vAlign w:val="center"/>
          </w:tcPr>
          <w:p>
            <w:pPr>
              <w:pStyle w:val="TableContents"/>
              <w:bidi w:val="0"/>
              <w:spacing w:before="0" w:after="283"/>
              <w:jc w:val="left"/>
              <w:rPr/>
            </w:pPr>
            <w:r>
              <w:rPr/>
              <w:t> </w:t>
            </w:r>
          </w:p>
        </w:tc>
        <w:tc>
          <w:tcPr>
            <w:tcW w:w="415" w:type="dxa"/>
            <w:tcBorders/>
            <w:shd w:fill="B7DEE8" w:val="clear"/>
            <w:vAlign w:val="center"/>
          </w:tcPr>
          <w:p>
            <w:pPr>
              <w:pStyle w:val="TableContents"/>
              <w:bidi w:val="0"/>
              <w:spacing w:before="0" w:after="283"/>
              <w:jc w:val="left"/>
              <w:rPr/>
            </w:pPr>
            <w:r>
              <w:rPr/>
              <w:t> </w:t>
            </w:r>
          </w:p>
        </w:tc>
      </w:tr>
      <w:tr>
        <w:trPr/>
        <w:tc>
          <w:tcPr>
            <w:tcW w:w="64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 and restricted cash</w:t>
            </w:r>
          </w:p>
        </w:tc>
        <w:tc>
          <w:tcPr>
            <w:tcW w:w="3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7,068</w:t>
            </w:r>
          </w:p>
        </w:tc>
        <w:tc>
          <w:tcPr>
            <w:tcW w:w="219"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26,457</w:t>
            </w:r>
          </w:p>
        </w:tc>
        <w:tc>
          <w:tcPr>
            <w:tcW w:w="415" w:type="dxa"/>
            <w:tcBorders/>
            <w:shd w:fill="FFFFFF" w:val="clear"/>
            <w:vAlign w:val="center"/>
          </w:tcPr>
          <w:p>
            <w:pPr>
              <w:pStyle w:val="TableContents"/>
              <w:bidi w:val="0"/>
              <w:spacing w:before="0" w:after="283"/>
              <w:jc w:val="left"/>
              <w:rPr/>
            </w:pPr>
            <w:r>
              <w:rPr/>
              <w:t> </w:t>
            </w:r>
          </w:p>
        </w:tc>
      </w:tr>
      <w:tr>
        <w:trPr/>
        <w:tc>
          <w:tcPr>
            <w:tcW w:w="6473"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beginning of the period</w:t>
            </w:r>
          </w:p>
        </w:tc>
        <w:tc>
          <w:tcPr>
            <w:tcW w:w="346" w:type="dxa"/>
            <w:tcBorders/>
            <w:shd w:fill="B7DEE8" w:val="clear"/>
            <w:vAlign w:val="center"/>
          </w:tcPr>
          <w:p>
            <w:pPr>
              <w:pStyle w:val="TableContents"/>
              <w:bidi w:val="0"/>
              <w:spacing w:before="0" w:after="283"/>
              <w:jc w:val="left"/>
              <w:rPr/>
            </w:pPr>
            <w:r>
              <w:rPr/>
              <w:t> </w:t>
            </w:r>
          </w:p>
        </w:tc>
        <w:tc>
          <w:tcPr>
            <w:tcW w:w="2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43,078</w:t>
            </w:r>
          </w:p>
        </w:tc>
        <w:tc>
          <w:tcPr>
            <w:tcW w:w="21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2" w:type="dxa"/>
            <w:tcBorders/>
            <w:shd w:fill="B7DEE8" w:val="clear"/>
            <w:vAlign w:val="center"/>
          </w:tcPr>
          <w:p>
            <w:pPr>
              <w:pStyle w:val="TableContents"/>
              <w:bidi w:val="0"/>
              <w:spacing w:before="0" w:after="283"/>
              <w:jc w:val="left"/>
              <w:rPr/>
            </w:pPr>
            <w:r>
              <w:rPr/>
              <w:t> </w:t>
            </w:r>
          </w:p>
        </w:tc>
        <w:tc>
          <w:tcPr>
            <w:tcW w:w="2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23,677</w:t>
            </w:r>
          </w:p>
        </w:tc>
        <w:tc>
          <w:tcPr>
            <w:tcW w:w="41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647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and restricted cash, end of the period</w:t>
            </w:r>
          </w:p>
        </w:tc>
        <w:tc>
          <w:tcPr>
            <w:tcW w:w="346"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50,146</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50,134</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2"/>
        <w:gridCol w:w="246"/>
        <w:gridCol w:w="211"/>
        <w:gridCol w:w="676"/>
        <w:gridCol w:w="146"/>
        <w:gridCol w:w="146"/>
        <w:gridCol w:w="211"/>
        <w:gridCol w:w="676"/>
        <w:gridCol w:w="291"/>
      </w:tblGrid>
      <w:tr>
        <w:trPr/>
        <w:tc>
          <w:tcPr>
            <w:tcW w:w="760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602" w:type="dxa"/>
            <w:tcBorders/>
            <w:shd w:fill="B7DEE8" w:val="clear"/>
            <w:vAlign w:val="center"/>
          </w:tcPr>
          <w:p>
            <w:pPr>
              <w:pStyle w:val="TableContents"/>
              <w:bidi w:val="0"/>
              <w:spacing w:before="0" w:after="283"/>
              <w:jc w:val="left"/>
              <w:rPr/>
            </w:pPr>
            <w:r>
              <w:rPr/>
              <w:t> </w:t>
            </w:r>
          </w:p>
        </w:tc>
        <w:tc>
          <w:tcPr>
            <w:tcW w:w="246" w:type="dxa"/>
            <w:tcBorders/>
            <w:shd w:fill="B7DEE8" w:val="clear"/>
            <w:vAlign w:val="center"/>
          </w:tcPr>
          <w:p>
            <w:pPr>
              <w:pStyle w:val="TableContents"/>
              <w:bidi w:val="0"/>
              <w:spacing w:before="0" w:after="283"/>
              <w:jc w:val="left"/>
              <w:rPr/>
            </w:pPr>
            <w:r>
              <w:rPr/>
              <w:t> </w:t>
            </w:r>
          </w:p>
        </w:tc>
        <w:tc>
          <w:tcPr>
            <w:tcW w:w="887" w:type="dxa"/>
            <w:gridSpan w:val="2"/>
            <w:tcBorders>
              <w:top w:val="double" w:sz="6" w:space="0" w:color="000000"/>
            </w:tcBorders>
            <w:shd w:fill="B7DEE8"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B7DEE8"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887" w:type="dxa"/>
            <w:gridSpan w:val="2"/>
            <w:tcBorders>
              <w:top w:val="double" w:sz="6" w:space="0" w:color="000000"/>
            </w:tcBorders>
            <w:shd w:fill="B7DEE8" w:val="clear"/>
            <w:tcMar>
              <w:left w:w="0" w:type="dxa"/>
              <w:bottom w:w="0" w:type="dxa"/>
              <w:right w:w="0" w:type="dxa"/>
            </w:tcMar>
            <w:vAlign w:val="center"/>
          </w:tcPr>
          <w:p>
            <w:pPr>
              <w:pStyle w:val="TableContents"/>
              <w:bidi w:val="0"/>
              <w:spacing w:before="0" w:after="283"/>
              <w:jc w:val="left"/>
              <w:rPr/>
            </w:pPr>
            <w:r>
              <w:rPr/>
              <w:t> </w:t>
            </w:r>
          </w:p>
        </w:tc>
        <w:tc>
          <w:tcPr>
            <w:tcW w:w="291" w:type="dxa"/>
            <w:tcBorders>
              <w:top w:val="double" w:sz="6" w:space="0" w:color="000000"/>
            </w:tcBorders>
            <w:shd w:fill="B7DEE8" w:val="clear"/>
            <w:tcMar>
              <w:left w:w="0" w:type="dxa"/>
              <w:bottom w:w="0" w:type="dxa"/>
              <w:right w:w="0" w:type="dxa"/>
            </w:tcMar>
            <w:vAlign w:val="center"/>
          </w:tcPr>
          <w:p>
            <w:pPr>
              <w:pStyle w:val="TableContents"/>
              <w:bidi w:val="0"/>
              <w:spacing w:before="0" w:after="283"/>
              <w:jc w:val="left"/>
              <w:rPr/>
            </w:pPr>
            <w:r>
              <w:rPr/>
              <w:t> </w:t>
            </w:r>
          </w:p>
        </w:tc>
      </w:tr>
      <w:tr>
        <w:trPr/>
        <w:tc>
          <w:tcPr>
            <w:tcW w:w="760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7602"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purchases in accounts payable and accrued liabilities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1"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11"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B7DEE8" w:val="clear"/>
            <w:vAlign w:val="center"/>
          </w:tcPr>
          <w:p>
            <w:pPr>
              <w:pStyle w:val="TableContents"/>
              <w:bidi w:val="0"/>
              <w:spacing w:before="0" w:after="283"/>
              <w:jc w:val="left"/>
              <w:rPr/>
            </w:pPr>
            <w:r>
              <w:rPr/>
              <w:t> </w:t>
            </w:r>
          </w:p>
        </w:tc>
      </w:tr>
      <w:tr>
        <w:trPr/>
        <w:tc>
          <w:tcPr>
            <w:tcW w:w="7602"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7602"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paid for:</w:t>
            </w:r>
          </w:p>
        </w:tc>
        <w:tc>
          <w:tcPr>
            <w:tcW w:w="246" w:type="dxa"/>
            <w:tcBorders/>
            <w:shd w:fill="B7DEE8" w:val="clear"/>
            <w:vAlign w:val="center"/>
          </w:tcPr>
          <w:p>
            <w:pPr>
              <w:pStyle w:val="TableContents"/>
              <w:bidi w:val="0"/>
              <w:spacing w:before="0" w:after="283"/>
              <w:jc w:val="left"/>
              <w:rPr/>
            </w:pPr>
            <w:r>
              <w:rPr/>
              <w:t> </w:t>
            </w:r>
          </w:p>
        </w:tc>
        <w:tc>
          <w:tcPr>
            <w:tcW w:w="887" w:type="dxa"/>
            <w:gridSpan w:val="2"/>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887" w:type="dxa"/>
            <w:gridSpan w:val="2"/>
            <w:tcBorders/>
            <w:shd w:fill="B7DEE8" w:val="clear"/>
            <w:vAlign w:val="center"/>
          </w:tcPr>
          <w:p>
            <w:pPr>
              <w:pStyle w:val="TableContents"/>
              <w:bidi w:val="0"/>
              <w:spacing w:before="0" w:after="283"/>
              <w:jc w:val="left"/>
              <w:rPr/>
            </w:pPr>
            <w:r>
              <w:rPr/>
              <w:t> </w:t>
            </w:r>
          </w:p>
        </w:tc>
        <w:tc>
          <w:tcPr>
            <w:tcW w:w="291" w:type="dxa"/>
            <w:tcBorders/>
            <w:shd w:fill="B7DEE8" w:val="clear"/>
            <w:vAlign w:val="center"/>
          </w:tcPr>
          <w:p>
            <w:pPr>
              <w:pStyle w:val="TableContents"/>
              <w:bidi w:val="0"/>
              <w:spacing w:before="0" w:after="283"/>
              <w:ind w:left="0" w:right="0" w:firstLine="100"/>
              <w:jc w:val="left"/>
              <w:rPr/>
            </w:pPr>
            <w:r>
              <w:rPr/>
              <w:t> </w:t>
            </w:r>
          </w:p>
        </w:tc>
      </w:tr>
      <w:tr>
        <w:trPr/>
        <w:tc>
          <w:tcPr>
            <w:tcW w:w="760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taxes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7602"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1"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11"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w:t>
            </w:r>
          </w:p>
        </w:tc>
        <w:tc>
          <w:tcPr>
            <w:tcW w:w="291" w:type="dxa"/>
            <w:tcBorders/>
            <w:shd w:fill="B7DEE8" w:val="clear"/>
            <w:vAlign w:val="center"/>
          </w:tcPr>
          <w:p>
            <w:pPr>
              <w:pStyle w:val="TableContents"/>
              <w:bidi w:val="0"/>
              <w:spacing w:before="0" w:after="283"/>
              <w:jc w:val="left"/>
              <w:rPr/>
            </w:pPr>
            <w:r>
              <w:rPr/>
              <w:t> </w:t>
            </w:r>
          </w:p>
        </w:tc>
      </w:tr>
      <w:tr>
        <w:trPr/>
        <w:tc>
          <w:tcPr>
            <w:tcW w:w="7602"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7602"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the condensed consolidated balance sheets with the same as shown in the condensed consolidated statement of cash flows</w:t>
            </w:r>
          </w:p>
        </w:tc>
        <w:tc>
          <w:tcPr>
            <w:tcW w:w="246" w:type="dxa"/>
            <w:tcBorders/>
            <w:shd w:fill="B7DEE8" w:val="clear"/>
            <w:vAlign w:val="center"/>
          </w:tcPr>
          <w:p>
            <w:pPr>
              <w:pStyle w:val="TableContents"/>
              <w:bidi w:val="0"/>
              <w:spacing w:before="0" w:after="283"/>
              <w:jc w:val="left"/>
              <w:rPr/>
            </w:pPr>
            <w:r>
              <w:rPr/>
              <w:t> </w:t>
            </w:r>
          </w:p>
        </w:tc>
        <w:tc>
          <w:tcPr>
            <w:tcW w:w="887" w:type="dxa"/>
            <w:gridSpan w:val="2"/>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887" w:type="dxa"/>
            <w:gridSpan w:val="2"/>
            <w:tcBorders/>
            <w:shd w:fill="B7DEE8" w:val="clear"/>
            <w:vAlign w:val="center"/>
          </w:tcPr>
          <w:p>
            <w:pPr>
              <w:pStyle w:val="TableContents"/>
              <w:bidi w:val="0"/>
              <w:spacing w:before="0" w:after="283"/>
              <w:jc w:val="left"/>
              <w:rPr/>
            </w:pPr>
            <w:r>
              <w:rPr/>
              <w:t> </w:t>
            </w:r>
          </w:p>
        </w:tc>
        <w:tc>
          <w:tcPr>
            <w:tcW w:w="291" w:type="dxa"/>
            <w:tcBorders/>
            <w:shd w:fill="B7DEE8" w:val="clear"/>
            <w:vAlign w:val="center"/>
          </w:tcPr>
          <w:p>
            <w:pPr>
              <w:pStyle w:val="TableContents"/>
              <w:bidi w:val="0"/>
              <w:spacing w:before="0" w:after="283"/>
              <w:jc w:val="left"/>
              <w:rPr/>
            </w:pPr>
            <w:r>
              <w:rPr/>
              <w:t> </w:t>
            </w:r>
          </w:p>
        </w:tc>
      </w:tr>
      <w:tr>
        <w:trPr/>
        <w:tc>
          <w:tcPr>
            <w:tcW w:w="76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49,346</w:t>
            </w:r>
          </w:p>
        </w:tc>
        <w:tc>
          <w:tcPr>
            <w:tcW w:w="291" w:type="dxa"/>
            <w:tcBorders/>
            <w:shd w:fill="FFFFFF" w:val="clear"/>
            <w:vAlign w:val="center"/>
          </w:tcPr>
          <w:p>
            <w:pPr>
              <w:pStyle w:val="TableContents"/>
              <w:bidi w:val="0"/>
              <w:spacing w:before="0" w:after="283"/>
              <w:jc w:val="left"/>
              <w:rPr/>
            </w:pPr>
            <w:r>
              <w:rPr/>
              <w:t> </w:t>
            </w:r>
          </w:p>
        </w:tc>
      </w:tr>
      <w:tr>
        <w:trPr/>
        <w:tc>
          <w:tcPr>
            <w:tcW w:w="7602"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46" w:type="dxa"/>
            <w:tcBorders/>
            <w:shd w:fill="B7DEE8" w:val="clear"/>
            <w:vAlign w:val="center"/>
          </w:tcPr>
          <w:p>
            <w:pPr>
              <w:pStyle w:val="TableContents"/>
              <w:bidi w:val="0"/>
              <w:spacing w:before="0" w:after="283"/>
              <w:jc w:val="left"/>
              <w:rPr/>
            </w:pPr>
            <w:r>
              <w:rPr/>
              <w:t> </w:t>
            </w:r>
          </w:p>
        </w:tc>
        <w:tc>
          <w:tcPr>
            <w:tcW w:w="2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29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760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 end of the period</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50,134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notestoconsolidatedfinancialstatements"/>
      <w:bookmarkEnd w:id="10"/>
      <w:r>
        <w:rPr>
          <w:rFonts w:ascii="Times New Roman" w:hAnsi="Times New Roman"/>
          <w:b/>
          <w:color w:val="000000"/>
          <w:sz w:val="20"/>
        </w:rPr>
        <w:t>Note 1 Organization and Nature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Dave Inc. (“Dave” or the “Company”), a Delaware corporation, with headquarters located in Los Angeles, California, is a financial services company. Dave offers a suite of innovative financial products aimed at helping Members improve their financial health. To help Members avoid punitive overdraft fees and access short-term liquidity, Dave offers cash advances through its flagship 0% interest ExtraCash product. Through Dave Banking, the Company provides a digital checking account experience with valuable tools for building long-term financial health. Dave also helps Members generate extra income for spending or emergencies through Dave’s Side Hustle product and Surveys, where Dave presents Members with supplemental work and income opportunities.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ExtraCash: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Americans are often unable to maintain a positive balance between paychecks, driving a reliance on overdraft products, payday loans, auto title loans and other forms of expensive credit to put food on the table, gas in their car or pay for unexpected emergencies. For example, traditional banks charge up to $35 for access to as little as $5 of overdraft, and many others in the financial services sector do not allow for overdraft at all. Dave invented a short-term liquidity alternative called ExtraCash, offered through our partnership with Evolve Bank &amp; Trust, a federal reserve member bank and member of the FDIC ("Evolve"), which allows Members to receive a cash advance of up to $500 with an option to advance funds to their bank account via the automated clearing house (ACH) network (which typically takes two to five business days) and avoid fees altogether. Members also have the option to advance funds to their bank account via the debit card network (which typically takes minutes or hours) for an instant transfer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Dave Banking: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Dave offers a full-service digital checking account through our partnership with Evolve. Dave Banking accounts do not have overdraft or minimum balance fees, allow for early paycheck payment, offer a Dave debit card to facilitate everyday spending including cashback reward offers, and provide FDIC insurance on checking account balances up to $250,000. Moreover, Dave Banking Members receive features to support their financial health such as 4.00% annual percentage yield ("APY") deposit rates on both checking and savings account balances, Goals savings accounts and opt-in round-up savings on debit transactions in addition to receiving lower ExtraCash instant transfer fees.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Budget: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Leveraging our data connections to Members' bank accounts and spending activity, Dave offers a personal financial management tool to support Members with budgeting, wherever someone banks. With Budget, Dave helps Members to manage their income and expenses between paychecks and avoid liquidity jams that may cause them to overdraft. Dave tracks Members’ income and expenses, and we let them know about estimated upcoming bills and other expenses. Budget will monitor their linked bank account held at a depository institution, including a Dave Banking account, and will let them know when they are in danger of having insufficient funds in their account. This helps Members avoid overdrafts, returned transactions and bank fees.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Side Hustle and Surveys: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Dave seeks to help Members improve their financial health by offering them opportunities to generate supplemental income through two channels: Side Hustle and Surveys. Through Side Hustle, our Members can quickly submit applications to leading employers, including Lyft, Instacart, and Walmart that can lead to increased income with flexible employment. Our Surveys product allows for additional earning opportunities, allowing Members to take paid surveys anytime within the Dave mobile application. These channels drive engagement within the Dave ecosystem and deepen our relationship to our Members’ financial wellbeing.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have been prepared in accordance with accounting principles generally accepted in the United States of America (“U.S. GAAP”).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4, 2023, the Board approved an amendment to the Company’s certificate of incorporation to complete a 1-for-32 reverse stock split effective January 5, 2023. At a special meeting held on December 13, 2022, stockholders approved the reverse stock split. The primary goal of the reverse stock split was to bring the Company’s stock price above the share bid price requirement for continued listing on Nasdaq. The effects of the reverse stock split have been reflected in the condensed consolidated financial statements and the footnotes.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consolidated financial statements include the accounts of the Company and a variable interest entity (“VIE”). All intercompany transactions and balances have been eliminated upon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consolidated balance sheets. The assets of Dave OD are restricted and may only be used to settle obligations of Dave OD.</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these consolidated financial statements requires the Company to make estimates and assumptions that affect the reported amounts of assets and liabilities and the disclosure of contingent assets and liabilities as of the date of the consolidated financial statements, as well as the reported revenues and expenses incurred during the reporting periods. The Company’s estimates are based on its historical experience and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Allowance for credit losses;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results may differ from these estimates under different assumptions or conditions. </w:t>
      </w:r>
    </w:p>
    <w:p>
      <w:pPr>
        <w:pStyle w:val="TextBody"/>
        <w:bidi w:val="0"/>
        <w:spacing w:before="360" w:after="283"/>
        <w:jc w:val="left"/>
        <w:rPr/>
      </w:pPr>
      <w:r>
        <w:rPr/>
        <w:t> </w:t>
      </w:r>
    </w:p>
    <w:p>
      <w:pPr>
        <w:pStyle w:val="TextBody"/>
        <w:bidi w:val="0"/>
        <w:spacing w:before="12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Below is detail of operating revenues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9583" w:type="dxa"/>
        <w:jc w:val="left"/>
        <w:tblInd w:w="0" w:type="dxa"/>
        <w:tblLayout w:type="fixed"/>
        <w:tblCellMar>
          <w:top w:w="28" w:type="dxa"/>
          <w:left w:w="28" w:type="dxa"/>
          <w:bottom w:w="28" w:type="dxa"/>
          <w:right w:w="28" w:type="dxa"/>
        </w:tblCellMar>
      </w:tblPr>
      <w:tblGrid>
        <w:gridCol w:w="2626"/>
        <w:gridCol w:w="146"/>
        <w:gridCol w:w="335"/>
        <w:gridCol w:w="1075"/>
        <w:gridCol w:w="232"/>
        <w:gridCol w:w="232"/>
        <w:gridCol w:w="335"/>
        <w:gridCol w:w="1075"/>
        <w:gridCol w:w="146"/>
        <w:gridCol w:w="146"/>
        <w:gridCol w:w="282"/>
        <w:gridCol w:w="1045"/>
        <w:gridCol w:w="195"/>
        <w:gridCol w:w="195"/>
        <w:gridCol w:w="282"/>
        <w:gridCol w:w="1045"/>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1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fees, net</w:t>
            </w:r>
          </w:p>
        </w:tc>
        <w:tc>
          <w:tcPr>
            <w:tcW w:w="146" w:type="dxa"/>
            <w:tcBorders/>
            <w:shd w:fill="B6DEE8" w:val="clear"/>
            <w:vAlign w:val="center"/>
          </w:tcPr>
          <w:p>
            <w:pPr>
              <w:pStyle w:val="TableContents"/>
              <w:bidi w:val="0"/>
              <w:spacing w:before="0" w:after="283"/>
              <w:jc w:val="left"/>
              <w:rPr/>
            </w:pPr>
            <w:r>
              <w:rPr/>
              <w:t> </w:t>
            </w:r>
          </w:p>
        </w:tc>
        <w:tc>
          <w:tcPr>
            <w:tcW w:w="335"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49,595</w:t>
            </w:r>
          </w:p>
        </w:tc>
        <w:tc>
          <w:tcPr>
            <w:tcW w:w="232" w:type="dxa"/>
            <w:tcBorders/>
            <w:shd w:fill="B6DEE8" w:val="clear"/>
            <w:vAlign w:val="center"/>
          </w:tcPr>
          <w:p>
            <w:pPr>
              <w:pStyle w:val="TableContents"/>
              <w:bidi w:val="0"/>
              <w:spacing w:before="0" w:after="283"/>
              <w:jc w:val="left"/>
              <w:rPr/>
            </w:pPr>
            <w:r>
              <w:rPr/>
              <w:t> </w:t>
            </w:r>
          </w:p>
        </w:tc>
        <w:tc>
          <w:tcPr>
            <w:tcW w:w="232" w:type="dxa"/>
            <w:tcBorders/>
            <w:shd w:fill="B6DEE8" w:val="clear"/>
            <w:vAlign w:val="center"/>
          </w:tcPr>
          <w:p>
            <w:pPr>
              <w:pStyle w:val="TableContents"/>
              <w:bidi w:val="0"/>
              <w:spacing w:before="0" w:after="283"/>
              <w:jc w:val="left"/>
              <w:rPr/>
            </w:pPr>
            <w:r>
              <w:rPr/>
              <w:t> </w:t>
            </w:r>
          </w:p>
        </w:tc>
        <w:tc>
          <w:tcPr>
            <w:tcW w:w="335"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8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94,191</w:t>
            </w:r>
          </w:p>
        </w:tc>
        <w:tc>
          <w:tcPr>
            <w:tcW w:w="195" w:type="dxa"/>
            <w:tcBorders/>
            <w:shd w:fill="B6DEE8" w:val="clear"/>
            <w:vAlign w:val="center"/>
          </w:tcPr>
          <w:p>
            <w:pPr>
              <w:pStyle w:val="TableContents"/>
              <w:bidi w:val="0"/>
              <w:spacing w:before="0" w:after="283"/>
              <w:jc w:val="left"/>
              <w:rPr/>
            </w:pPr>
            <w:r>
              <w:rPr/>
              <w:t> </w:t>
            </w:r>
          </w:p>
        </w:tc>
        <w:tc>
          <w:tcPr>
            <w:tcW w:w="195" w:type="dxa"/>
            <w:tcBorders/>
            <w:shd w:fill="B6DEE8" w:val="clear"/>
            <w:vAlign w:val="center"/>
          </w:tcPr>
          <w:p>
            <w:pPr>
              <w:pStyle w:val="TableContents"/>
              <w:bidi w:val="0"/>
              <w:spacing w:before="0" w:after="283"/>
              <w:jc w:val="left"/>
              <w:rPr/>
            </w:pPr>
            <w:r>
              <w:rPr/>
              <w:t> </w:t>
            </w:r>
          </w:p>
        </w:tc>
        <w:tc>
          <w:tcPr>
            <w:tcW w:w="28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68,987</w:t>
            </w:r>
          </w:p>
        </w:tc>
        <w:tc>
          <w:tcPr>
            <w:tcW w:w="191" w:type="dxa"/>
            <w:tcBorders/>
            <w:shd w:fill="B6DEE8"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Tips</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16,077</w:t>
            </w:r>
          </w:p>
        </w:tc>
        <w:tc>
          <w:tcPr>
            <w:tcW w:w="232"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30,987</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26,899</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B6DEE8" w:val="clear"/>
            <w:vAlign w:val="center"/>
          </w:tcPr>
          <w:p>
            <w:pPr>
              <w:pStyle w:val="TableContents"/>
              <w:bidi w:val="0"/>
              <w:spacing w:before="0" w:after="283"/>
              <w:jc w:val="left"/>
              <w:rPr/>
            </w:pPr>
            <w:r>
              <w:rPr/>
              <w:t> </w:t>
            </w:r>
          </w:p>
        </w:tc>
        <w:tc>
          <w:tcPr>
            <w:tcW w:w="335" w:type="dxa"/>
            <w:tcBorders/>
            <w:shd w:fill="B6DEE8" w:val="clear"/>
            <w:vAlign w:val="center"/>
          </w:tcPr>
          <w:p>
            <w:pPr>
              <w:pStyle w:val="TableContents"/>
              <w:bidi w:val="0"/>
              <w:spacing w:before="0" w:after="283"/>
              <w:jc w:val="left"/>
              <w:rPr/>
            </w:pPr>
            <w:r>
              <w:rPr/>
              <w:t> </w:t>
            </w:r>
          </w:p>
        </w:tc>
        <w:tc>
          <w:tcPr>
            <w:tcW w:w="107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w:t>
            </w:r>
          </w:p>
        </w:tc>
        <w:tc>
          <w:tcPr>
            <w:tcW w:w="232" w:type="dxa"/>
            <w:tcBorders/>
            <w:shd w:fill="B6DEE8" w:val="clear"/>
            <w:vAlign w:val="center"/>
          </w:tcPr>
          <w:p>
            <w:pPr>
              <w:pStyle w:val="TableContents"/>
              <w:bidi w:val="0"/>
              <w:spacing w:before="0" w:after="283"/>
              <w:jc w:val="left"/>
              <w:rPr/>
            </w:pPr>
            <w:r>
              <w:rPr/>
              <w:t> </w:t>
            </w:r>
          </w:p>
        </w:tc>
        <w:tc>
          <w:tcPr>
            <w:tcW w:w="232" w:type="dxa"/>
            <w:tcBorders/>
            <w:shd w:fill="B6DEE8" w:val="clear"/>
            <w:vAlign w:val="center"/>
          </w:tcPr>
          <w:p>
            <w:pPr>
              <w:pStyle w:val="TableContents"/>
              <w:bidi w:val="0"/>
              <w:spacing w:before="0" w:after="283"/>
              <w:jc w:val="left"/>
              <w:rPr/>
            </w:pPr>
            <w:r>
              <w:rPr/>
              <w:t> </w:t>
            </w:r>
          </w:p>
        </w:tc>
        <w:tc>
          <w:tcPr>
            <w:tcW w:w="335" w:type="dxa"/>
            <w:tcBorders/>
            <w:shd w:fill="B6DEE8" w:val="clear"/>
            <w:vAlign w:val="center"/>
          </w:tcPr>
          <w:p>
            <w:pPr>
              <w:pStyle w:val="TableContents"/>
              <w:bidi w:val="0"/>
              <w:spacing w:before="0" w:after="283"/>
              <w:jc w:val="left"/>
              <w:rPr/>
            </w:pPr>
            <w:r>
              <w:rPr/>
              <w:t> </w:t>
            </w:r>
          </w:p>
        </w:tc>
        <w:tc>
          <w:tcPr>
            <w:tcW w:w="107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82" w:type="dxa"/>
            <w:tcBorders/>
            <w:shd w:fill="B6DEE8" w:val="clear"/>
            <w:vAlign w:val="center"/>
          </w:tcPr>
          <w:p>
            <w:pPr>
              <w:pStyle w:val="TableContents"/>
              <w:bidi w:val="0"/>
              <w:spacing w:before="0" w:after="283"/>
              <w:jc w:val="left"/>
              <w:rPr/>
            </w:pPr>
            <w:r>
              <w:rPr/>
              <w:t> </w:t>
            </w:r>
          </w:p>
        </w:tc>
        <w:tc>
          <w:tcPr>
            <w:tcW w:w="104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11,794</w:t>
            </w:r>
          </w:p>
        </w:tc>
        <w:tc>
          <w:tcPr>
            <w:tcW w:w="195" w:type="dxa"/>
            <w:tcBorders/>
            <w:shd w:fill="B6DEE8" w:val="clear"/>
            <w:vAlign w:val="center"/>
          </w:tcPr>
          <w:p>
            <w:pPr>
              <w:pStyle w:val="TableContents"/>
              <w:bidi w:val="0"/>
              <w:spacing w:before="0" w:after="283"/>
              <w:jc w:val="left"/>
              <w:rPr/>
            </w:pPr>
            <w:r>
              <w:rPr/>
              <w:t> </w:t>
            </w:r>
          </w:p>
        </w:tc>
        <w:tc>
          <w:tcPr>
            <w:tcW w:w="195" w:type="dxa"/>
            <w:tcBorders/>
            <w:shd w:fill="B6DEE8" w:val="clear"/>
            <w:vAlign w:val="center"/>
          </w:tcPr>
          <w:p>
            <w:pPr>
              <w:pStyle w:val="TableContents"/>
              <w:bidi w:val="0"/>
              <w:spacing w:before="0" w:after="283"/>
              <w:jc w:val="left"/>
              <w:rPr/>
            </w:pPr>
            <w:r>
              <w:rPr/>
              <w:t> </w:t>
            </w:r>
          </w:p>
        </w:tc>
        <w:tc>
          <w:tcPr>
            <w:tcW w:w="282" w:type="dxa"/>
            <w:tcBorders/>
            <w:shd w:fill="B6DEE8" w:val="clear"/>
            <w:vAlign w:val="center"/>
          </w:tcPr>
          <w:p>
            <w:pPr>
              <w:pStyle w:val="TableContents"/>
              <w:bidi w:val="0"/>
              <w:spacing w:before="0" w:after="283"/>
              <w:jc w:val="left"/>
              <w:rPr/>
            </w:pPr>
            <w:r>
              <w:rPr/>
              <w:t> </w:t>
            </w:r>
          </w:p>
        </w:tc>
        <w:tc>
          <w:tcPr>
            <w:tcW w:w="104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11,031</w:t>
            </w:r>
          </w:p>
        </w:tc>
        <w:tc>
          <w:tcPr>
            <w:tcW w:w="191" w:type="dxa"/>
            <w:tcBorders/>
            <w:shd w:fill="B6DEE8"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32"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B6DEE8" w:val="clear"/>
            <w:vAlign w:val="center"/>
          </w:tcPr>
          <w:p>
            <w:pPr>
              <w:pStyle w:val="TableContents"/>
              <w:bidi w:val="0"/>
              <w:spacing w:before="0" w:after="283"/>
              <w:jc w:val="left"/>
              <w:rPr/>
            </w:pPr>
            <w:r>
              <w:rPr/>
              <w:t> </w:t>
            </w:r>
          </w:p>
        </w:tc>
        <w:tc>
          <w:tcPr>
            <w:tcW w:w="1410" w:type="dxa"/>
            <w:gridSpan w:val="2"/>
            <w:tcBorders/>
            <w:shd w:fill="B6DEE8" w:val="clear"/>
            <w:vAlign w:val="center"/>
          </w:tcPr>
          <w:p>
            <w:pPr>
              <w:pStyle w:val="TableContents"/>
              <w:bidi w:val="0"/>
              <w:spacing w:before="0" w:after="283"/>
              <w:jc w:val="left"/>
              <w:rPr/>
            </w:pPr>
            <w:r>
              <w:rPr/>
              <w:t> </w:t>
            </w:r>
          </w:p>
        </w:tc>
        <w:tc>
          <w:tcPr>
            <w:tcW w:w="232" w:type="dxa"/>
            <w:tcBorders/>
            <w:shd w:fill="B6DEE8" w:val="clear"/>
            <w:vAlign w:val="center"/>
          </w:tcPr>
          <w:p>
            <w:pPr>
              <w:pStyle w:val="TableContents"/>
              <w:bidi w:val="0"/>
              <w:spacing w:before="0" w:after="283"/>
              <w:jc w:val="left"/>
              <w:rPr/>
            </w:pPr>
            <w:r>
              <w:rPr/>
              <w:t> </w:t>
            </w:r>
          </w:p>
        </w:tc>
        <w:tc>
          <w:tcPr>
            <w:tcW w:w="232" w:type="dxa"/>
            <w:tcBorders/>
            <w:shd w:fill="B6DEE8" w:val="clear"/>
            <w:vAlign w:val="center"/>
          </w:tcPr>
          <w:p>
            <w:pPr>
              <w:pStyle w:val="TableContents"/>
              <w:bidi w:val="0"/>
              <w:spacing w:before="0" w:after="283"/>
              <w:jc w:val="left"/>
              <w:rPr/>
            </w:pPr>
            <w:r>
              <w:rPr/>
              <w:t> </w:t>
            </w:r>
          </w:p>
        </w:tc>
        <w:tc>
          <w:tcPr>
            <w:tcW w:w="1410"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327" w:type="dxa"/>
            <w:gridSpan w:val="2"/>
            <w:tcBorders/>
            <w:shd w:fill="B6DEE8" w:val="clear"/>
            <w:vAlign w:val="center"/>
          </w:tcPr>
          <w:p>
            <w:pPr>
              <w:pStyle w:val="TableContents"/>
              <w:bidi w:val="0"/>
              <w:spacing w:before="0" w:after="283"/>
              <w:jc w:val="left"/>
              <w:rPr/>
            </w:pPr>
            <w:r>
              <w:rPr/>
              <w:t> </w:t>
            </w:r>
          </w:p>
        </w:tc>
        <w:tc>
          <w:tcPr>
            <w:tcW w:w="195" w:type="dxa"/>
            <w:tcBorders/>
            <w:shd w:fill="B6DEE8" w:val="clear"/>
            <w:vAlign w:val="center"/>
          </w:tcPr>
          <w:p>
            <w:pPr>
              <w:pStyle w:val="TableContents"/>
              <w:bidi w:val="0"/>
              <w:spacing w:before="0" w:after="283"/>
              <w:jc w:val="left"/>
              <w:rPr/>
            </w:pPr>
            <w:r>
              <w:rPr/>
              <w:t> </w:t>
            </w:r>
          </w:p>
        </w:tc>
        <w:tc>
          <w:tcPr>
            <w:tcW w:w="195" w:type="dxa"/>
            <w:tcBorders/>
            <w:shd w:fill="B6DEE8" w:val="clear"/>
            <w:vAlign w:val="center"/>
          </w:tcPr>
          <w:p>
            <w:pPr>
              <w:pStyle w:val="TableContents"/>
              <w:bidi w:val="0"/>
              <w:spacing w:before="0" w:after="283"/>
              <w:jc w:val="left"/>
              <w:rPr/>
            </w:pPr>
            <w:r>
              <w:rPr/>
              <w:t> </w:t>
            </w:r>
          </w:p>
        </w:tc>
        <w:tc>
          <w:tcPr>
            <w:tcW w:w="1327" w:type="dxa"/>
            <w:gridSpan w:val="2"/>
            <w:tcBorders/>
            <w:shd w:fill="B6DEE8" w:val="clear"/>
            <w:vAlign w:val="center"/>
          </w:tcPr>
          <w:p>
            <w:pPr>
              <w:pStyle w:val="TableContents"/>
              <w:bidi w:val="0"/>
              <w:spacing w:before="0" w:after="283"/>
              <w:jc w:val="left"/>
              <w:rPr/>
            </w:pPr>
            <w:r>
              <w:rPr/>
              <w:t> </w:t>
            </w:r>
          </w:p>
        </w:tc>
        <w:tc>
          <w:tcPr>
            <w:tcW w:w="191" w:type="dxa"/>
            <w:tcBorders/>
            <w:shd w:fill="B6DEE8"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Interchange revenue, net</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w:t>
            </w:r>
          </w:p>
        </w:tc>
        <w:tc>
          <w:tcPr>
            <w:tcW w:w="232"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9,484</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ATM revenue, net</w:t>
            </w:r>
          </w:p>
        </w:tc>
        <w:tc>
          <w:tcPr>
            <w:tcW w:w="146" w:type="dxa"/>
            <w:tcBorders/>
            <w:shd w:fill="B6DEE8" w:val="clear"/>
            <w:vAlign w:val="center"/>
          </w:tcPr>
          <w:p>
            <w:pPr>
              <w:pStyle w:val="TableContents"/>
              <w:bidi w:val="0"/>
              <w:spacing w:before="0" w:after="283"/>
              <w:jc w:val="left"/>
              <w:rPr/>
            </w:pPr>
            <w:r>
              <w:rPr/>
              <w:t> </w:t>
            </w:r>
          </w:p>
        </w:tc>
        <w:tc>
          <w:tcPr>
            <w:tcW w:w="335" w:type="dxa"/>
            <w:tcBorders/>
            <w:shd w:fill="B6DEE8" w:val="clear"/>
            <w:vAlign w:val="center"/>
          </w:tcPr>
          <w:p>
            <w:pPr>
              <w:pStyle w:val="TableContents"/>
              <w:bidi w:val="0"/>
              <w:spacing w:before="0" w:after="283"/>
              <w:jc w:val="left"/>
              <w:rPr/>
            </w:pPr>
            <w:r>
              <w:rPr/>
              <w:t> </w:t>
            </w:r>
          </w:p>
        </w:tc>
        <w:tc>
          <w:tcPr>
            <w:tcW w:w="107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232" w:type="dxa"/>
            <w:tcBorders/>
            <w:shd w:fill="B6DEE8" w:val="clear"/>
            <w:vAlign w:val="center"/>
          </w:tcPr>
          <w:p>
            <w:pPr>
              <w:pStyle w:val="TableContents"/>
              <w:bidi w:val="0"/>
              <w:spacing w:before="0" w:after="283"/>
              <w:jc w:val="left"/>
              <w:rPr/>
            </w:pPr>
            <w:r>
              <w:rPr/>
              <w:t> </w:t>
            </w:r>
          </w:p>
        </w:tc>
        <w:tc>
          <w:tcPr>
            <w:tcW w:w="232" w:type="dxa"/>
            <w:tcBorders/>
            <w:shd w:fill="B6DEE8" w:val="clear"/>
            <w:vAlign w:val="center"/>
          </w:tcPr>
          <w:p>
            <w:pPr>
              <w:pStyle w:val="TableContents"/>
              <w:bidi w:val="0"/>
              <w:spacing w:before="0" w:after="283"/>
              <w:jc w:val="left"/>
              <w:rPr/>
            </w:pPr>
            <w:r>
              <w:rPr/>
              <w:t> </w:t>
            </w:r>
          </w:p>
        </w:tc>
        <w:tc>
          <w:tcPr>
            <w:tcW w:w="335" w:type="dxa"/>
            <w:tcBorders/>
            <w:shd w:fill="B6DEE8" w:val="clear"/>
            <w:vAlign w:val="center"/>
          </w:tcPr>
          <w:p>
            <w:pPr>
              <w:pStyle w:val="TableContents"/>
              <w:bidi w:val="0"/>
              <w:spacing w:before="0" w:after="283"/>
              <w:jc w:val="left"/>
              <w:rPr/>
            </w:pPr>
            <w:r>
              <w:rPr/>
              <w:t> </w:t>
            </w:r>
          </w:p>
        </w:tc>
        <w:tc>
          <w:tcPr>
            <w:tcW w:w="107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82" w:type="dxa"/>
            <w:tcBorders/>
            <w:shd w:fill="B6DEE8" w:val="clear"/>
            <w:vAlign w:val="center"/>
          </w:tcPr>
          <w:p>
            <w:pPr>
              <w:pStyle w:val="TableContents"/>
              <w:bidi w:val="0"/>
              <w:spacing w:before="0" w:after="283"/>
              <w:jc w:val="left"/>
              <w:rPr/>
            </w:pPr>
            <w:r>
              <w:rPr/>
              <w:t> </w:t>
            </w:r>
          </w:p>
        </w:tc>
        <w:tc>
          <w:tcPr>
            <w:tcW w:w="104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95" w:type="dxa"/>
            <w:tcBorders/>
            <w:shd w:fill="B6DEE8" w:val="clear"/>
            <w:vAlign w:val="center"/>
          </w:tcPr>
          <w:p>
            <w:pPr>
              <w:pStyle w:val="TableContents"/>
              <w:bidi w:val="0"/>
              <w:spacing w:before="0" w:after="283"/>
              <w:jc w:val="left"/>
              <w:rPr/>
            </w:pPr>
            <w:r>
              <w:rPr/>
              <w:t> </w:t>
            </w:r>
          </w:p>
        </w:tc>
        <w:tc>
          <w:tcPr>
            <w:tcW w:w="195" w:type="dxa"/>
            <w:tcBorders/>
            <w:shd w:fill="B6DEE8" w:val="clear"/>
            <w:vAlign w:val="center"/>
          </w:tcPr>
          <w:p>
            <w:pPr>
              <w:pStyle w:val="TableContents"/>
              <w:bidi w:val="0"/>
              <w:spacing w:before="0" w:after="283"/>
              <w:jc w:val="left"/>
              <w:rPr/>
            </w:pPr>
            <w:r>
              <w:rPr/>
              <w:t> </w:t>
            </w:r>
          </w:p>
        </w:tc>
        <w:tc>
          <w:tcPr>
            <w:tcW w:w="282" w:type="dxa"/>
            <w:tcBorders/>
            <w:shd w:fill="B6DEE8" w:val="clear"/>
            <w:vAlign w:val="center"/>
          </w:tcPr>
          <w:p>
            <w:pPr>
              <w:pStyle w:val="TableContents"/>
              <w:bidi w:val="0"/>
              <w:spacing w:before="0" w:after="283"/>
              <w:jc w:val="left"/>
              <w:rPr/>
            </w:pPr>
            <w:r>
              <w:rPr/>
              <w:t> </w:t>
            </w:r>
          </w:p>
        </w:tc>
        <w:tc>
          <w:tcPr>
            <w:tcW w:w="104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91" w:type="dxa"/>
            <w:tcBorders/>
            <w:shd w:fill="B6DEE8"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revenues, net</w:t>
            </w:r>
          </w:p>
        </w:tc>
        <w:tc>
          <w:tcPr>
            <w:tcW w:w="146" w:type="dxa"/>
            <w:tcBorders/>
            <w:shd w:fill="B6DEE8" w:val="clear"/>
            <w:vAlign w:val="center"/>
          </w:tcPr>
          <w:p>
            <w:pPr>
              <w:pStyle w:val="TableContents"/>
              <w:bidi w:val="0"/>
              <w:spacing w:before="0" w:after="283"/>
              <w:jc w:val="left"/>
              <w:rPr/>
            </w:pPr>
            <w:r>
              <w:rPr/>
              <w:t> </w:t>
            </w:r>
          </w:p>
        </w:tc>
        <w:tc>
          <w:tcPr>
            <w:tcW w:w="33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7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80,117</w:t>
            </w:r>
          </w:p>
        </w:tc>
        <w:tc>
          <w:tcPr>
            <w:tcW w:w="23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32" w:type="dxa"/>
            <w:tcBorders/>
            <w:shd w:fill="B6DEE8" w:val="clear"/>
            <w:vAlign w:val="center"/>
          </w:tcPr>
          <w:p>
            <w:pPr>
              <w:pStyle w:val="TableContents"/>
              <w:bidi w:val="0"/>
              <w:spacing w:before="0" w:after="283"/>
              <w:jc w:val="left"/>
              <w:rPr/>
            </w:pPr>
            <w:r>
              <w:rPr/>
              <w:t> </w:t>
            </w:r>
          </w:p>
        </w:tc>
        <w:tc>
          <w:tcPr>
            <w:tcW w:w="33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7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61,235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8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153,747</w:t>
            </w:r>
          </w:p>
        </w:tc>
        <w:tc>
          <w:tcPr>
            <w:tcW w:w="19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5" w:type="dxa"/>
            <w:tcBorders/>
            <w:shd w:fill="B6DEE8" w:val="clear"/>
            <w:vAlign w:val="center"/>
          </w:tcPr>
          <w:p>
            <w:pPr>
              <w:pStyle w:val="TableContents"/>
              <w:bidi w:val="0"/>
              <w:spacing w:before="0" w:after="283"/>
              <w:jc w:val="left"/>
              <w:rPr/>
            </w:pPr>
            <w:r>
              <w:rPr/>
              <w:t> </w:t>
            </w:r>
          </w:p>
        </w:tc>
        <w:tc>
          <w:tcPr>
            <w:tcW w:w="28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120,163</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1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Service Based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Service based revenue, net primarily consists of optional tips, optional processing fees, and subscriptions charged to Members, net of processor costs associated with advance disbursements. Member advances are treated as financial receivables under ASC 310 Receivables (“ASC 310”) and processing fees, net and tips are also accounted for in accordance with ASC 310.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Fees,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fees apply when a Member requests an expedited cash advance. At the Member’s election, the Company expedites the funding of advance funds within hours of the advance approval, as opposed to the customary two or three business days. Processing fees are accounted for as non-refundable loan origination fees and are recognized as revenues over the average expected contractual term of its advances.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incurred by the Company to fund cash advances are treated as direct loan origination costs. These direct loan origination costs are netted against advance-related income over the average expected contractual term of its advances. Direct origination costs recognized as a reduction of advance-related income during the three and six months ended June 30, 2024 were $0.8 million and $1.5 million, respectively. During the three and six months ended June 30, 2023, the Company recognized direct origination costs as a reduction of advance-related income of $0.7 million and $2.0 million,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Tips: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encourages, but does not contractually require its Members who receive a cash advance to leave a discretionary tip. For accounting purposes, the Company treats tips as an adjustment of yield to the advances and are recognized over the average expected contractual term of its advances.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Subscriptions: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accounts for subscriptions in accordance with ASC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Subscription fees are received on a monthly basis from Members who subscribe to the Company’s application. The Company continually fulfills its obligation to each Member over the subscription term. The series of distinct services represents a single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performance obligation that is satisfied over time. The Company recognizes revenue ratably as the Member receives and consumes the benefits of the platform throughout the monthly contract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Price concessions granted to Members who have insufficient funds when subscription fees are due and not collected are forms of variable consideration under the Company’s contracts with Members. For price concessions, the Company has elected, as an accounting policy, to account for price concessions for the month at the end of the reporting month based on the actual amounts collected from Members.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service based revenue consists of lead generation fees from the Company’s Side Hustle advertising partners and revenue share from its survey partners.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Transaction Based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Transaction based revenue, net primarily consists of interchange and ATM revenues from the Company’s Checking Product, net of certain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 from Member’s usage out-of-network reduced by related ATM transaction costs during the three months and six months ended June 30, 2024, were $0.8 million and $1.6 million, respectively. ATM fees earned from Member’s usage out-of-network reduced by related ATM transaction costs during the three months and six months ended June 30, 2023, were $0.6 million and $1.3 million, respectively. ATM-related fees recognized as a reduction of transaction based revenue during the three months and six months ended June 30, 2024 were $0.5 million and $1.0 million, respectively. ATM-related fees recognized as a reduction of transaction based revenue during the three months and six months ended June 30, 2023 were $0.5 million and $0.8 million,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Processing and Servicing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costs consist of amounts paid to third party processors for the recovery of advances, tips, processing fees, and subscriptions. These expenses also include fees paid for services to connect Member’s bank accounts to the Company’s application. Except for processing and service fees associated with advance disbursements, which are recorded net against revenue, all other processing and service fees are expensed as incurred.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all highly liquid instruments with an original maturity of three months or less as cash equivalents.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primarily represents cash held at financial institutions that is pledged as collateral for specific accounts that may become overdrawn.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Marketable securities consist of a money market mutual fund. The fair value of marketable securities is determined by quoted prices in active markets and changes in fair value are recorded in other (income) expense in the consolidated statements of operations.</w:t>
      </w:r>
    </w:p>
    <w:p>
      <w:pPr>
        <w:pStyle w:val="TextBody"/>
        <w:bidi w:val="0"/>
        <w:spacing w:before="16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Investments</w:t>
      </w:r>
    </w:p>
    <w:p>
      <w:pPr>
        <w:pStyle w:val="TextBody"/>
        <w:bidi w:val="0"/>
        <w:jc w:val="left"/>
        <w:rPr>
          <w:rFonts w:ascii="Times New Roman" w:hAnsi="Times New Roman"/>
          <w:color w:val="000000"/>
          <w:sz w:val="20"/>
        </w:rPr>
      </w:pPr>
      <w:r>
        <w:rPr>
          <w:rFonts w:ascii="Times New Roman" w:hAnsi="Times New Roman"/>
          <w:color w:val="000000"/>
          <w:sz w:val="20"/>
        </w:rPr>
        <w:t xml:space="preserve">Investments consist of corporate bonds and notes, asset backed securities, and government securities and are classified as “available-for-sale” as the sale of such securities may be required prior to maturity to implement the Company’s strategies. The fair value of investments is determined by quoted prices in active markets with unrealized gains and losses (other than credit related impairment) reported as a separate component of other comprehensive income.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specific identification method and recognized in the consolidated statements of comprehensive loss. Any related amounts recorded in accumulated other comprehensive income are reclassified to earnings (on a pretax basis).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Member Advances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Member advances include ExtraCash advances, fees, and tips, net of certain direct origination costs and allowance for credit losses. Management’s intent is to hold advances until the earlier of repayment or payoff date. Members’ cash advances are treated as financial receivables under ASC 310.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Advances to Members are not interest-bearing. The Company recognizes these advances at the advanced amount and does not use discounting techniques to determine present value of advances due to their short-term 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does not provide modifications to advances and does not charge late fees.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Allowance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Member advances from contracts with Members as of the balance sheet dates are recorded at their original advance amounts, inclusive of outstanding processing fees and tips, and reduced by an allowance for expected credit losses. The Company pools its Member advances, all of which are short-term (average term of approximately 11 days) in nature and arise from contracts with Members, based on shared risk characteristics to assess their risk of loss, even when that risk is remote. The Company uses an aging method and historical loss rates as a basis for estimating the percentage of current and delinquent Member advances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 most indicative of its lifetime expected losses. The Company immediately recognizes an allowance for expected credit losses upon the origination of the advance. Adjustments to the allowance each period for changes in the estimate of lifetime expected credit losses are recognized in operating expenses—provision for credit losses in the consolidated statements of operations. </w:t>
      </w:r>
    </w:p>
    <w:p>
      <w:pPr>
        <w:pStyle w:val="TextBody"/>
        <w:bidi w:val="0"/>
        <w:jc w:val="left"/>
        <w:rPr>
          <w:rFonts w:ascii="Times New Roman" w:hAnsi="Times New Roman"/>
          <w:color w:val="000000"/>
          <w:sz w:val="20"/>
        </w:rPr>
      </w:pPr>
      <w:r>
        <w:rPr>
          <w:rFonts w:ascii="Times New Roman" w:hAnsi="Times New Roman"/>
          <w:color w:val="000000"/>
          <w:sz w:val="20"/>
        </w:rPr>
        <w:t>When the Company determines that a Member advance is not collectible, or after 120 days from origination has passed, the uncollectible amount is written-off as a reduction to both the allowance and the gross asset balance. Based on the average outstanding Member advance term of approximately 11 days, advances outstanding 12 or more days from origination may be considered past due. Subsequent recoveries are recorded when received and are recorded as a recovery of the allowance for expected credit losses. Any change in circumstances related to a specific Member advance may result in an additional allowance for expected credit losses being recognized in the period in which the change occurs.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Internally Developed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consolidated balance sheets as intangible assets, net. Other costs are expensed as incurred and included within other operating expenses in the consolidated statements of operations. Capitalized costs for the three months and six months ended June 30, 2024, were $2.2 million and $3.8 million, respectively. Capitalized costs for the three months and six months ended June 30, 2023, were $2.1 million and $4.1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of internally developed software commences when the software is ready for its intended use (i.e., after all substantial testing is complete). Internally developed software is amortized over its estimated useful life of 3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 the Company will determine the fair value of the asset group and recognize an impairment loss as the amount by which the carrying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ASC 820, Fair Value Measurement (“ASC 820”), provides a single definition of fair value and a common framework for measuring fair value as well as disclosure requirements for fair value measurements used in the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1—Quoted prices in active markets for identical assets or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3—Valuations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 of Risk</w:t>
      </w:r>
    </w:p>
    <w:p>
      <w:pPr>
        <w:pStyle w:val="TextBody"/>
        <w:bidi w:val="0"/>
        <w:spacing w:before="120" w:after="283"/>
        <w:jc w:val="left"/>
        <w:rPr>
          <w:rFonts w:ascii="Times New Roman" w:hAnsi="Times New Roman"/>
          <w:sz w:val="20"/>
        </w:rPr>
      </w:pPr>
      <w:r>
        <w:rPr>
          <w:rFonts w:ascii="Times New Roman" w:hAnsi="Times New Roman"/>
          <w:color w:val="000000"/>
          <w:sz w:val="20"/>
        </w:rPr>
        <w:t>Financial instruments, which potentially subject the Company to concentrations of credit risk, principally consist of cash and cash equivalents, restricted cash, Member advances, and accounts receivable.</w:t>
      </w:r>
      <w:r>
        <w:rPr>
          <w:rFonts w:ascii="Times New Roman" w:hAnsi="Times New Roman"/>
          <w:color w:val="FF00FF"/>
          <w:sz w:val="20"/>
        </w:rPr>
        <w:t xml:space="preserve"> </w:t>
      </w:r>
      <w:r>
        <w:rPr>
          <w:rFonts w:ascii="Times New Roman" w:hAnsi="Times New Roman"/>
          <w:color w:val="000000"/>
          <w:sz w:val="20"/>
        </w:rPr>
        <w:t>The Company’s cash and cash equivalents and restricted cash in excess of the Federal Deposit Insurance Corporation (“FDIC”) insured limits were $48.0 million at June 30,</w:t>
      </w:r>
      <w:r>
        <w:rPr>
          <w:rFonts w:ascii="Times New Roman" w:hAnsi="Times New Roman"/>
          <w:color w:val="FF00FF"/>
          <w:sz w:val="20"/>
        </w:rPr>
        <w:t xml:space="preserve"> </w:t>
      </w:r>
      <w:r>
        <w:rPr>
          <w:rFonts w:ascii="Times New Roman" w:hAnsi="Times New Roman"/>
          <w:color w:val="000000"/>
          <w:sz w:val="20"/>
        </w:rPr>
        <w:t xml:space="preserve">2024 and $40.9 million at December 31, 2023, respectively. The Company’s payment processors also collect cash on the Company’s behalf and will hold these cash balances temporarily until they are settled the next business day. Also, the Company does not believe its marketable securities are exposed to any significant credit risk due to the quality and nature of the securities in which the money is held.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Member individually exceeded 10% or more of the Company’s Member advances balances as of June 30, 2024 and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ASC 842, Leases (“ASC 842”) requires lessees to recognize most leases on the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Restricted Stock Unit Awards:</w:t>
      </w:r>
    </w:p>
    <w:p>
      <w:pPr>
        <w:pStyle w:val="TextBody"/>
        <w:bidi w:val="0"/>
        <w:jc w:val="left"/>
        <w:rPr>
          <w:rFonts w:ascii="Times New Roman" w:hAnsi="Times New Roman"/>
          <w:color w:val="000000"/>
          <w:sz w:val="20"/>
        </w:rPr>
      </w:pPr>
      <w:r>
        <w:rPr>
          <w:rFonts w:ascii="Times New Roman" w:hAnsi="Times New Roman"/>
          <w:color w:val="000000"/>
          <w:sz w:val="20"/>
        </w:rPr>
        <w:t>Restricted stock units (“RSUs”) are valued on the grant date. The fair value of the RSUs that vest based solely on a service condition is equal to the estimated fair value of the Company’s Common Stock on the grant date. This compensation 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consolidated statements of operations. The Company recognizes forfeitures as they occur.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Performance-Based Restricted Stock Unit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Performance-based RSUs are valued on the grant date and the compensation cost is recognized over the requisite service period if and when the Company concludes it is probable that the performance metrics will be satisfied. The grant-date fair value of the awards are not subsequently remeasured, however, the Company reassesses the probability of vesting at each reporting period and records a cumulative adjustment to compensation expense based on the likelihood the performance metric will be achieved. These costs are a component of stock-based compensation expense, presented within compensation and benefits in the consolidated statements of operations. The Company recognizes forfeitures as they occur.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Advertising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costs are expensed as incurred. Advertising costs for the three months and six months ended June 30, 2024, were $10.7 million and $19.8 million, respectively, and are presented within advertising and marketing within the condensed consolidated statements of operations. Advertising costs for the three and six months ended June 30, 2023, were $15.0 million and $24.5 million,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rFonts w:ascii="Times New Roman" w:hAnsi="Times New Roman"/>
          <w:color w:val="000000"/>
          <w:sz w:val="20"/>
        </w:rPr>
      </w:pPr>
      <w:r>
        <w:rPr>
          <w:rFonts w:ascii="Times New Roman" w:hAnsi="Times New Roman"/>
          <w:color w:val="000000"/>
          <w:sz w:val="20"/>
        </w:rPr>
        <w:t>The Company follows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condensed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pStyle w:val="TextBody"/>
        <w:bidi w:val="0"/>
        <w:jc w:val="left"/>
        <w:rPr>
          <w:rFonts w:ascii="Times New Roman" w:hAnsi="Times New Roman"/>
          <w:color w:val="000000"/>
          <w:sz w:val="20"/>
        </w:rPr>
      </w:pPr>
      <w:r>
        <w:rPr>
          <w:rFonts w:ascii="Times New Roman" w:hAnsi="Times New Roman"/>
          <w:color w:val="000000"/>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pStyle w:val="TextBody"/>
        <w:bidi w:val="0"/>
        <w:jc w:val="left"/>
        <w:rPr>
          <w:rFonts w:ascii="Times New Roman" w:hAnsi="Times New Roman"/>
          <w:color w:val="000000"/>
          <w:sz w:val="20"/>
        </w:rPr>
      </w:pPr>
      <w:r>
        <w:rPr>
          <w:rFonts w:ascii="Times New Roman" w:hAnsi="Times New Roman"/>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$1.5 million and $1.3 million of uncertain tax positions as of June 30, 2024 and December 31, 2023, respectively, related to state income taxes and federal and state research tax credits.</w:t>
      </w:r>
    </w:p>
    <w:p>
      <w:pPr>
        <w:pStyle w:val="TextBody"/>
        <w:bidi w:val="0"/>
        <w:jc w:val="left"/>
        <w:rPr>
          <w:rFonts w:ascii="Times New Roman" w:hAnsi="Times New Roman"/>
          <w:color w:val="000000"/>
          <w:sz w:val="20"/>
        </w:rPr>
      </w:pPr>
      <w:r>
        <w:rPr>
          <w:rFonts w:ascii="Times New Roman" w:hAnsi="Times New Roman"/>
          <w:color w:val="000000"/>
          <w:sz w:val="20"/>
        </w:rPr>
        <w:t>The Company’s policy is to recognize interest expense and penalties accrued on any unrecognized tax benefits as a component of income tax expense within the statement of operations. The Company recognized $0.004 million and $0.002 million of interest expense and penalties as a component of income tax expense during the six months ended June 30, 2024 and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determines its operating segments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service-based and transaction-based operations constitute a single operating segment and reportable segment.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Income (Loss) Per Share Attributable to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two classes of participating securities (Class A Common Stock and Class V Common Stock) issued and outstanding as of June 30, 2024. The rights, including the liquidation and dividend rights, of the holders of the Class A Common Stock and Class V Common Stock are identical, except with respect to voting.</w:t>
      </w:r>
    </w:p>
    <w:p>
      <w:pPr>
        <w:pStyle w:val="TextBody"/>
        <w:bidi w:val="0"/>
        <w:spacing w:before="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net income (loss) attributable to holders of Common Stock per share is calculated by dividing net income (loss) attributable to holders of Common Stock by the weighted-average number of shares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Diluted net income (loss) per share attributable to holders of common stock is computed by dividing net income (loss) per share attributable to stockholders and the weighted-average number of shares outstanding and the effect of potentially dilutive stock options, warrants, and restricted stock using the treasury stock method.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following table sets forth the computation of the Company’s basic and diluted net income (loss) per share attributable to holders of common stock (</w:t>
      </w:r>
      <w:r>
        <w:rPr>
          <w:rFonts w:ascii="Times New Roman" w:hAnsi="Times New Roman"/>
          <w:i/>
          <w:color w:val="000000"/>
          <w:sz w:val="20"/>
        </w:rPr>
        <w:t>in thousands, except share data</w:t>
      </w:r>
      <w:r>
        <w:rPr>
          <w:rFonts w:ascii="Times New Roman" w:hAnsi="Times New Roman"/>
          <w:color w:val="000000"/>
          <w:sz w:val="20"/>
        </w:rPr>
        <w:t>):</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720"/>
        <w:gridCol w:w="146"/>
        <w:gridCol w:w="235"/>
        <w:gridCol w:w="1157"/>
        <w:gridCol w:w="162"/>
        <w:gridCol w:w="235"/>
        <w:gridCol w:w="1157"/>
        <w:gridCol w:w="166"/>
        <w:gridCol w:w="224"/>
        <w:gridCol w:w="1103"/>
        <w:gridCol w:w="155"/>
        <w:gridCol w:w="224"/>
        <w:gridCol w:w="1103"/>
        <w:gridCol w:w="418"/>
      </w:tblGrid>
      <w:tr>
        <w:trPr/>
        <w:tc>
          <w:tcPr>
            <w:tcW w:w="3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7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2024</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Numerator</w:t>
            </w:r>
          </w:p>
        </w:tc>
        <w:tc>
          <w:tcPr>
            <w:tcW w:w="146" w:type="dxa"/>
            <w:tcBorders/>
            <w:shd w:fill="FFFFFF" w:val="clear"/>
            <w:vAlign w:val="center"/>
          </w:tcPr>
          <w:p>
            <w:pPr>
              <w:pStyle w:val="TableContents"/>
              <w:bidi w:val="0"/>
              <w:spacing w:before="0" w:after="283"/>
              <w:jc w:val="left"/>
              <w:rPr/>
            </w:pPr>
            <w:r>
              <w:rPr/>
              <w:t> </w:t>
            </w:r>
          </w:p>
        </w:tc>
        <w:tc>
          <w:tcPr>
            <w:tcW w:w="1392" w:type="dxa"/>
            <w:gridSpan w:val="2"/>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3720"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attributed to common stockholders—basic and diluted</w:t>
            </w:r>
          </w:p>
        </w:tc>
        <w:tc>
          <w:tcPr>
            <w:tcW w:w="146" w:type="dxa"/>
            <w:tcBorders/>
            <w:shd w:fill="B6DEE8" w:val="clear"/>
            <w:vAlign w:val="center"/>
          </w:tcPr>
          <w:p>
            <w:pPr>
              <w:pStyle w:val="TableContents"/>
              <w:bidi w:val="0"/>
              <w:spacing w:before="0" w:after="283"/>
              <w:jc w:val="left"/>
              <w:rPr/>
            </w:pPr>
            <w:r>
              <w:rPr/>
              <w:t> </w:t>
            </w:r>
          </w:p>
        </w:tc>
        <w:tc>
          <w:tcPr>
            <w:tcW w:w="235"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162" w:type="dxa"/>
            <w:tcBorders/>
            <w:shd w:fill="B6DEE8" w:val="clear"/>
            <w:vAlign w:val="center"/>
          </w:tcPr>
          <w:p>
            <w:pPr>
              <w:pStyle w:val="TableContents"/>
              <w:bidi w:val="0"/>
              <w:spacing w:before="0" w:after="283"/>
              <w:jc w:val="left"/>
              <w:rPr/>
            </w:pPr>
            <w:r>
              <w:rPr/>
              <w:t> </w:t>
            </w:r>
          </w:p>
        </w:tc>
        <w:tc>
          <w:tcPr>
            <w:tcW w:w="235"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(22,618</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40,601</w:t>
            </w:r>
          </w:p>
        </w:tc>
        <w:tc>
          <w:tcPr>
            <w:tcW w:w="155" w:type="dxa"/>
            <w:tcBorders/>
            <w:shd w:fill="B6DEE8" w:val="clear"/>
            <w:vAlign w:val="center"/>
          </w:tcPr>
          <w:p>
            <w:pPr>
              <w:pStyle w:val="TableContents"/>
              <w:bidi w:val="0"/>
              <w:spacing w:before="0" w:after="283"/>
              <w:jc w:val="left"/>
              <w:rPr/>
            </w:pPr>
            <w:r>
              <w:rPr/>
              <w:t> </w:t>
            </w:r>
          </w:p>
        </w:tc>
        <w:tc>
          <w:tcPr>
            <w:tcW w:w="224"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(36,643</w:t>
            </w:r>
          </w:p>
        </w:tc>
        <w:tc>
          <w:tcPr>
            <w:tcW w:w="41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2" w:type="dxa"/>
            <w:gridSpan w:val="2"/>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3720" w:type="dxa"/>
            <w:tcBorders/>
            <w:shd w:fill="B6DEE8"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Denominator</w:t>
            </w:r>
          </w:p>
        </w:tc>
        <w:tc>
          <w:tcPr>
            <w:tcW w:w="146" w:type="dxa"/>
            <w:tcBorders/>
            <w:shd w:fill="B6DEE8" w:val="clear"/>
            <w:vAlign w:val="center"/>
          </w:tcPr>
          <w:p>
            <w:pPr>
              <w:pStyle w:val="TableContents"/>
              <w:bidi w:val="0"/>
              <w:spacing w:before="0" w:after="283"/>
              <w:jc w:val="left"/>
              <w:rPr/>
            </w:pPr>
            <w:r>
              <w:rPr/>
              <w:t> </w:t>
            </w:r>
          </w:p>
        </w:tc>
        <w:tc>
          <w:tcPr>
            <w:tcW w:w="1392" w:type="dxa"/>
            <w:gridSpan w:val="2"/>
            <w:tcBorders/>
            <w:shd w:fill="B6DEE8" w:val="clear"/>
            <w:vAlign w:val="center"/>
          </w:tcPr>
          <w:p>
            <w:pPr>
              <w:pStyle w:val="TableContents"/>
              <w:bidi w:val="0"/>
              <w:spacing w:before="0" w:after="283"/>
              <w:jc w:val="left"/>
              <w:rPr/>
            </w:pPr>
            <w:r>
              <w:rPr/>
              <w:t> </w:t>
            </w:r>
          </w:p>
        </w:tc>
        <w:tc>
          <w:tcPr>
            <w:tcW w:w="162" w:type="dxa"/>
            <w:tcBorders/>
            <w:shd w:fill="B6DEE8" w:val="clear"/>
            <w:vAlign w:val="center"/>
          </w:tcPr>
          <w:p>
            <w:pPr>
              <w:pStyle w:val="TableContents"/>
              <w:bidi w:val="0"/>
              <w:spacing w:before="0" w:after="283"/>
              <w:jc w:val="left"/>
              <w:rPr/>
            </w:pPr>
            <w:r>
              <w:rPr/>
              <w:t> </w:t>
            </w:r>
          </w:p>
        </w:tc>
        <w:tc>
          <w:tcPr>
            <w:tcW w:w="1392" w:type="dxa"/>
            <w:gridSpan w:val="2"/>
            <w:tcBorders/>
            <w:shd w:fill="B6DEE8" w:val="clear"/>
            <w:vAlign w:val="center"/>
          </w:tcPr>
          <w:p>
            <w:pPr>
              <w:pStyle w:val="TableContents"/>
              <w:bidi w:val="0"/>
              <w:spacing w:before="0" w:after="283"/>
              <w:jc w:val="left"/>
              <w:rPr/>
            </w:pPr>
            <w:r>
              <w:rPr/>
              <w:t> </w:t>
            </w:r>
          </w:p>
        </w:tc>
        <w:tc>
          <w:tcPr>
            <w:tcW w:w="166" w:type="dxa"/>
            <w:tcBorders/>
            <w:shd w:fill="B6DEE8" w:val="clear"/>
            <w:vAlign w:val="center"/>
          </w:tcPr>
          <w:p>
            <w:pPr>
              <w:pStyle w:val="TableContents"/>
              <w:bidi w:val="0"/>
              <w:spacing w:before="0" w:after="283"/>
              <w:jc w:val="left"/>
              <w:rPr/>
            </w:pPr>
            <w:r>
              <w:rPr/>
              <w:t> </w:t>
            </w:r>
          </w:p>
        </w:tc>
        <w:tc>
          <w:tcPr>
            <w:tcW w:w="1327" w:type="dxa"/>
            <w:gridSpan w:val="2"/>
            <w:tcBorders/>
            <w:shd w:fill="B6DEE8" w:val="clear"/>
            <w:vAlign w:val="center"/>
          </w:tcPr>
          <w:p>
            <w:pPr>
              <w:pStyle w:val="TableContents"/>
              <w:bidi w:val="0"/>
              <w:spacing w:before="0" w:after="283"/>
              <w:jc w:val="left"/>
              <w:rPr/>
            </w:pPr>
            <w:r>
              <w:rPr/>
              <w:t> </w:t>
            </w:r>
          </w:p>
        </w:tc>
        <w:tc>
          <w:tcPr>
            <w:tcW w:w="155" w:type="dxa"/>
            <w:tcBorders/>
            <w:shd w:fill="B6DEE8" w:val="clear"/>
            <w:vAlign w:val="center"/>
          </w:tcPr>
          <w:p>
            <w:pPr>
              <w:pStyle w:val="TableContents"/>
              <w:bidi w:val="0"/>
              <w:spacing w:before="0" w:after="283"/>
              <w:jc w:val="left"/>
              <w:rPr/>
            </w:pPr>
            <w:r>
              <w:rPr/>
              <w:t> </w:t>
            </w:r>
          </w:p>
        </w:tc>
        <w:tc>
          <w:tcPr>
            <w:tcW w:w="1327" w:type="dxa"/>
            <w:gridSpan w:val="2"/>
            <w:tcBorders/>
            <w:shd w:fill="B6DEE8" w:val="clear"/>
            <w:vAlign w:val="center"/>
          </w:tcPr>
          <w:p>
            <w:pPr>
              <w:pStyle w:val="TableContents"/>
              <w:bidi w:val="0"/>
              <w:spacing w:before="0" w:after="283"/>
              <w:jc w:val="left"/>
              <w:rPr/>
            </w:pPr>
            <w:r>
              <w:rPr/>
              <w:t> </w:t>
            </w:r>
          </w:p>
        </w:tc>
        <w:tc>
          <w:tcPr>
            <w:tcW w:w="418" w:type="dxa"/>
            <w:tcBorders/>
            <w:shd w:fill="B6DEE8" w:val="cle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stock—basic</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12,416,524</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11,884,473</w:t>
            </w:r>
          </w:p>
        </w:tc>
        <w:tc>
          <w:tcPr>
            <w:tcW w:w="16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12,318,365</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11,850,151</w:t>
            </w:r>
          </w:p>
        </w:tc>
        <w:tc>
          <w:tcPr>
            <w:tcW w:w="418" w:type="dxa"/>
            <w:tcBorders/>
            <w:shd w:fill="FFFFFF" w:val="clear"/>
            <w:vAlign w:val="center"/>
          </w:tcPr>
          <w:p>
            <w:pPr>
              <w:pStyle w:val="TableContents"/>
              <w:bidi w:val="0"/>
              <w:spacing w:before="0" w:after="283"/>
              <w:ind w:left="0" w:right="0" w:firstLine="200"/>
              <w:jc w:val="left"/>
              <w:rPr/>
            </w:pPr>
            <w:r>
              <w:rPr/>
              <w:t> </w:t>
            </w:r>
          </w:p>
        </w:tc>
      </w:tr>
      <w:tr>
        <w:trPr/>
        <w:tc>
          <w:tcPr>
            <w:tcW w:w="3720" w:type="dxa"/>
            <w:tcBorders/>
            <w:shd w:fill="B6DEE8"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Dilutive effect of stock options</w:t>
            </w:r>
          </w:p>
        </w:tc>
        <w:tc>
          <w:tcPr>
            <w:tcW w:w="146" w:type="dxa"/>
            <w:tcBorders/>
            <w:shd w:fill="B6DEE8" w:val="clear"/>
            <w:vAlign w:val="center"/>
          </w:tcPr>
          <w:p>
            <w:pPr>
              <w:pStyle w:val="TableContents"/>
              <w:bidi w:val="0"/>
              <w:spacing w:before="0" w:after="283"/>
              <w:jc w:val="left"/>
              <w:rPr/>
            </w:pPr>
            <w:r>
              <w:rPr/>
              <w:t> </w:t>
            </w:r>
          </w:p>
        </w:tc>
        <w:tc>
          <w:tcPr>
            <w:tcW w:w="235" w:type="dxa"/>
            <w:tcBorders/>
            <w:shd w:fill="B6DEE8" w:val="clear"/>
            <w:vAlign w:val="center"/>
          </w:tcPr>
          <w:p>
            <w:pPr>
              <w:pStyle w:val="TableContents"/>
              <w:bidi w:val="0"/>
              <w:spacing w:before="0" w:after="283"/>
              <w:jc w:val="left"/>
              <w:rPr/>
            </w:pPr>
            <w:r>
              <w:rPr/>
              <w:t> </w:t>
            </w:r>
          </w:p>
        </w:tc>
        <w:tc>
          <w:tcPr>
            <w:tcW w:w="115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281,982</w:t>
            </w:r>
          </w:p>
        </w:tc>
        <w:tc>
          <w:tcPr>
            <w:tcW w:w="162" w:type="dxa"/>
            <w:tcBorders/>
            <w:shd w:fill="B6DEE8" w:val="clear"/>
            <w:vAlign w:val="center"/>
          </w:tcPr>
          <w:p>
            <w:pPr>
              <w:pStyle w:val="TableContents"/>
              <w:bidi w:val="0"/>
              <w:spacing w:before="0" w:after="283"/>
              <w:jc w:val="left"/>
              <w:rPr/>
            </w:pPr>
            <w:r>
              <w:rPr/>
              <w:t> </w:t>
            </w:r>
          </w:p>
        </w:tc>
        <w:tc>
          <w:tcPr>
            <w:tcW w:w="235" w:type="dxa"/>
            <w:tcBorders/>
            <w:shd w:fill="B6DEE8" w:val="clear"/>
            <w:vAlign w:val="center"/>
          </w:tcPr>
          <w:p>
            <w:pPr>
              <w:pStyle w:val="TableContents"/>
              <w:bidi w:val="0"/>
              <w:spacing w:before="0" w:after="283"/>
              <w:jc w:val="left"/>
              <w:rPr/>
            </w:pPr>
            <w:r>
              <w:rPr/>
              <w:t> </w:t>
            </w:r>
          </w:p>
        </w:tc>
        <w:tc>
          <w:tcPr>
            <w:tcW w:w="115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6DEE8" w:val="clear"/>
            <w:vAlign w:val="center"/>
          </w:tcPr>
          <w:p>
            <w:pPr>
              <w:pStyle w:val="TableContents"/>
              <w:bidi w:val="0"/>
              <w:spacing w:before="0" w:after="283"/>
              <w:jc w:val="left"/>
              <w:rPr/>
            </w:pPr>
            <w:r>
              <w:rPr/>
              <w:t> </w:t>
            </w:r>
          </w:p>
        </w:tc>
        <w:tc>
          <w:tcPr>
            <w:tcW w:w="224" w:type="dxa"/>
            <w:tcBorders/>
            <w:shd w:fill="B6DEE8" w:val="clear"/>
            <w:vAlign w:val="center"/>
          </w:tcPr>
          <w:p>
            <w:pPr>
              <w:pStyle w:val="TableContents"/>
              <w:bidi w:val="0"/>
              <w:spacing w:before="0" w:after="283"/>
              <w:jc w:val="left"/>
              <w:rPr/>
            </w:pPr>
            <w:r>
              <w:rPr/>
              <w:t> </w:t>
            </w:r>
          </w:p>
        </w:tc>
        <w:tc>
          <w:tcPr>
            <w:tcW w:w="110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251,119</w:t>
            </w:r>
          </w:p>
        </w:tc>
        <w:tc>
          <w:tcPr>
            <w:tcW w:w="155" w:type="dxa"/>
            <w:tcBorders/>
            <w:shd w:fill="B6DEE8" w:val="clear"/>
            <w:vAlign w:val="center"/>
          </w:tcPr>
          <w:p>
            <w:pPr>
              <w:pStyle w:val="TableContents"/>
              <w:bidi w:val="0"/>
              <w:spacing w:before="0" w:after="283"/>
              <w:jc w:val="left"/>
              <w:rPr/>
            </w:pPr>
            <w:r>
              <w:rPr/>
              <w:t> </w:t>
            </w:r>
          </w:p>
        </w:tc>
        <w:tc>
          <w:tcPr>
            <w:tcW w:w="224" w:type="dxa"/>
            <w:tcBorders/>
            <w:shd w:fill="B6DEE8" w:val="clear"/>
            <w:vAlign w:val="center"/>
          </w:tcPr>
          <w:p>
            <w:pPr>
              <w:pStyle w:val="TableContents"/>
              <w:bidi w:val="0"/>
              <w:spacing w:before="0" w:after="283"/>
              <w:jc w:val="left"/>
              <w:rPr/>
            </w:pPr>
            <w:r>
              <w:rPr/>
              <w:t> </w:t>
            </w:r>
          </w:p>
        </w:tc>
        <w:tc>
          <w:tcPr>
            <w:tcW w:w="110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8" w:type="dxa"/>
            <w:tcBorders/>
            <w:shd w:fill="B6DEE8" w:val="clear"/>
            <w:vAlign w:val="center"/>
          </w:tcPr>
          <w:p>
            <w:pPr>
              <w:pStyle w:val="TableContents"/>
              <w:bidi w:val="0"/>
              <w:spacing w:before="0" w:after="283"/>
              <w:ind w:left="0" w:right="0" w:firstLine="200"/>
              <w:jc w:val="left"/>
              <w:rPr/>
            </w:pPr>
            <w:r>
              <w:rPr/>
              <w:t> </w:t>
            </w:r>
          </w:p>
        </w:tc>
      </w:tr>
      <w:tr>
        <w:trPr/>
        <w:tc>
          <w:tcPr>
            <w:tcW w:w="372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Dilutive effect of RSU</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845,142</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863,977</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0"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stock—diluted</w:t>
            </w:r>
          </w:p>
        </w:tc>
        <w:tc>
          <w:tcPr>
            <w:tcW w:w="146" w:type="dxa"/>
            <w:tcBorders/>
            <w:shd w:fill="B6DEE8" w:val="clear"/>
            <w:vAlign w:val="center"/>
          </w:tcPr>
          <w:p>
            <w:pPr>
              <w:pStyle w:val="TableContents"/>
              <w:bidi w:val="0"/>
              <w:spacing w:before="0" w:after="283"/>
              <w:jc w:val="left"/>
              <w:rPr/>
            </w:pPr>
            <w:r>
              <w:rPr/>
              <w:t> </w:t>
            </w:r>
          </w:p>
        </w:tc>
        <w:tc>
          <w:tcPr>
            <w:tcW w:w="235" w:type="dxa"/>
            <w:tcBorders/>
            <w:shd w:fill="B6DEE8" w:val="clear"/>
            <w:vAlign w:val="center"/>
          </w:tcPr>
          <w:p>
            <w:pPr>
              <w:pStyle w:val="TableContents"/>
              <w:bidi w:val="0"/>
              <w:spacing w:before="0" w:after="283"/>
              <w:jc w:val="left"/>
              <w:rPr/>
            </w:pPr>
            <w:r>
              <w:rPr/>
              <w:t> </w:t>
            </w:r>
          </w:p>
        </w:tc>
        <w:tc>
          <w:tcPr>
            <w:tcW w:w="115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13,543,648</w:t>
            </w:r>
          </w:p>
        </w:tc>
        <w:tc>
          <w:tcPr>
            <w:tcW w:w="162" w:type="dxa"/>
            <w:tcBorders/>
            <w:shd w:fill="B6DEE8" w:val="clear"/>
            <w:vAlign w:val="center"/>
          </w:tcPr>
          <w:p>
            <w:pPr>
              <w:pStyle w:val="TableContents"/>
              <w:bidi w:val="0"/>
              <w:spacing w:before="0" w:after="283"/>
              <w:jc w:val="left"/>
              <w:rPr/>
            </w:pPr>
            <w:r>
              <w:rPr/>
              <w:t> </w:t>
            </w:r>
          </w:p>
        </w:tc>
        <w:tc>
          <w:tcPr>
            <w:tcW w:w="235" w:type="dxa"/>
            <w:tcBorders/>
            <w:shd w:fill="B6DEE8" w:val="clear"/>
            <w:vAlign w:val="center"/>
          </w:tcPr>
          <w:p>
            <w:pPr>
              <w:pStyle w:val="TableContents"/>
              <w:bidi w:val="0"/>
              <w:spacing w:before="0" w:after="283"/>
              <w:jc w:val="left"/>
              <w:rPr/>
            </w:pPr>
            <w:r>
              <w:rPr/>
              <w:t> </w:t>
            </w:r>
          </w:p>
        </w:tc>
        <w:tc>
          <w:tcPr>
            <w:tcW w:w="115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11,884,473</w:t>
            </w:r>
          </w:p>
        </w:tc>
        <w:tc>
          <w:tcPr>
            <w:tcW w:w="166" w:type="dxa"/>
            <w:tcBorders/>
            <w:shd w:fill="B6DEE8" w:val="clear"/>
            <w:vAlign w:val="center"/>
          </w:tcPr>
          <w:p>
            <w:pPr>
              <w:pStyle w:val="TableContents"/>
              <w:bidi w:val="0"/>
              <w:spacing w:before="0" w:after="283"/>
              <w:jc w:val="left"/>
              <w:rPr/>
            </w:pPr>
            <w:r>
              <w:rPr/>
              <w:t> </w:t>
            </w:r>
          </w:p>
        </w:tc>
        <w:tc>
          <w:tcPr>
            <w:tcW w:w="224" w:type="dxa"/>
            <w:tcBorders/>
            <w:shd w:fill="B6DEE8" w:val="clear"/>
            <w:vAlign w:val="center"/>
          </w:tcPr>
          <w:p>
            <w:pPr>
              <w:pStyle w:val="TableContents"/>
              <w:bidi w:val="0"/>
              <w:spacing w:before="0" w:after="283"/>
              <w:jc w:val="left"/>
              <w:rPr/>
            </w:pPr>
            <w:r>
              <w:rPr/>
              <w:t> </w:t>
            </w:r>
          </w:p>
        </w:tc>
        <w:tc>
          <w:tcPr>
            <w:tcW w:w="110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13,433,461</w:t>
            </w:r>
          </w:p>
        </w:tc>
        <w:tc>
          <w:tcPr>
            <w:tcW w:w="155" w:type="dxa"/>
            <w:tcBorders/>
            <w:shd w:fill="B6DEE8" w:val="clear"/>
            <w:vAlign w:val="center"/>
          </w:tcPr>
          <w:p>
            <w:pPr>
              <w:pStyle w:val="TableContents"/>
              <w:bidi w:val="0"/>
              <w:spacing w:before="0" w:after="283"/>
              <w:jc w:val="left"/>
              <w:rPr/>
            </w:pPr>
            <w:r>
              <w:rPr/>
              <w:t> </w:t>
            </w:r>
          </w:p>
        </w:tc>
        <w:tc>
          <w:tcPr>
            <w:tcW w:w="224" w:type="dxa"/>
            <w:tcBorders/>
            <w:shd w:fill="B6DEE8" w:val="clear"/>
            <w:vAlign w:val="center"/>
          </w:tcPr>
          <w:p>
            <w:pPr>
              <w:pStyle w:val="TableContents"/>
              <w:bidi w:val="0"/>
              <w:spacing w:before="0" w:after="283"/>
              <w:jc w:val="left"/>
              <w:rPr/>
            </w:pPr>
            <w:r>
              <w:rPr/>
              <w:t> </w:t>
            </w:r>
          </w:p>
        </w:tc>
        <w:tc>
          <w:tcPr>
            <w:tcW w:w="110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11,850,151</w:t>
            </w:r>
          </w:p>
        </w:tc>
        <w:tc>
          <w:tcPr>
            <w:tcW w:w="418" w:type="dxa"/>
            <w:tcBorders/>
            <w:shd w:fill="B6DEE8" w:val="cle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2" w:type="dxa"/>
            <w:gridSpan w:val="2"/>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3720" w:type="dxa"/>
            <w:tcBorders/>
            <w:shd w:fill="B6DEE8"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Net income (loss) per share</w:t>
            </w:r>
          </w:p>
        </w:tc>
        <w:tc>
          <w:tcPr>
            <w:tcW w:w="146" w:type="dxa"/>
            <w:tcBorders/>
            <w:shd w:fill="B6DEE8" w:val="clear"/>
            <w:vAlign w:val="center"/>
          </w:tcPr>
          <w:p>
            <w:pPr>
              <w:pStyle w:val="TableContents"/>
              <w:bidi w:val="0"/>
              <w:spacing w:before="0" w:after="283"/>
              <w:jc w:val="left"/>
              <w:rPr/>
            </w:pPr>
            <w:r>
              <w:rPr/>
              <w:t> </w:t>
            </w:r>
          </w:p>
        </w:tc>
        <w:tc>
          <w:tcPr>
            <w:tcW w:w="1392" w:type="dxa"/>
            <w:gridSpan w:val="2"/>
            <w:tcBorders/>
            <w:shd w:fill="B6DEE8" w:val="clear"/>
            <w:vAlign w:val="center"/>
          </w:tcPr>
          <w:p>
            <w:pPr>
              <w:pStyle w:val="TableContents"/>
              <w:bidi w:val="0"/>
              <w:spacing w:before="0" w:after="283"/>
              <w:jc w:val="left"/>
              <w:rPr/>
            </w:pPr>
            <w:r>
              <w:rPr/>
              <w:t> </w:t>
            </w:r>
          </w:p>
        </w:tc>
        <w:tc>
          <w:tcPr>
            <w:tcW w:w="162" w:type="dxa"/>
            <w:tcBorders/>
            <w:shd w:fill="B6DEE8" w:val="clear"/>
            <w:vAlign w:val="center"/>
          </w:tcPr>
          <w:p>
            <w:pPr>
              <w:pStyle w:val="TableContents"/>
              <w:bidi w:val="0"/>
              <w:spacing w:before="0" w:after="283"/>
              <w:jc w:val="left"/>
              <w:rPr/>
            </w:pPr>
            <w:r>
              <w:rPr/>
              <w:t> </w:t>
            </w:r>
          </w:p>
        </w:tc>
        <w:tc>
          <w:tcPr>
            <w:tcW w:w="1392" w:type="dxa"/>
            <w:gridSpan w:val="2"/>
            <w:tcBorders/>
            <w:shd w:fill="B6DEE8" w:val="clear"/>
            <w:vAlign w:val="center"/>
          </w:tcPr>
          <w:p>
            <w:pPr>
              <w:pStyle w:val="TableContents"/>
              <w:bidi w:val="0"/>
              <w:spacing w:before="0" w:after="283"/>
              <w:jc w:val="left"/>
              <w:rPr/>
            </w:pPr>
            <w:r>
              <w:rPr/>
              <w:t> </w:t>
            </w:r>
          </w:p>
        </w:tc>
        <w:tc>
          <w:tcPr>
            <w:tcW w:w="166" w:type="dxa"/>
            <w:tcBorders/>
            <w:shd w:fill="B6DEE8" w:val="clear"/>
            <w:vAlign w:val="center"/>
          </w:tcPr>
          <w:p>
            <w:pPr>
              <w:pStyle w:val="TableContents"/>
              <w:bidi w:val="0"/>
              <w:spacing w:before="0" w:after="283"/>
              <w:jc w:val="left"/>
              <w:rPr/>
            </w:pPr>
            <w:r>
              <w:rPr/>
              <w:t> </w:t>
            </w:r>
          </w:p>
        </w:tc>
        <w:tc>
          <w:tcPr>
            <w:tcW w:w="1327" w:type="dxa"/>
            <w:gridSpan w:val="2"/>
            <w:tcBorders/>
            <w:shd w:fill="B6DEE8" w:val="clear"/>
            <w:vAlign w:val="center"/>
          </w:tcPr>
          <w:p>
            <w:pPr>
              <w:pStyle w:val="TableContents"/>
              <w:bidi w:val="0"/>
              <w:spacing w:before="0" w:after="283"/>
              <w:jc w:val="left"/>
              <w:rPr/>
            </w:pPr>
            <w:r>
              <w:rPr/>
              <w:t> </w:t>
            </w:r>
          </w:p>
        </w:tc>
        <w:tc>
          <w:tcPr>
            <w:tcW w:w="155" w:type="dxa"/>
            <w:tcBorders/>
            <w:shd w:fill="B6DEE8" w:val="clear"/>
            <w:vAlign w:val="center"/>
          </w:tcPr>
          <w:p>
            <w:pPr>
              <w:pStyle w:val="TableContents"/>
              <w:bidi w:val="0"/>
              <w:spacing w:before="0" w:after="283"/>
              <w:jc w:val="left"/>
              <w:rPr/>
            </w:pPr>
            <w:r>
              <w:rPr/>
              <w:t> </w:t>
            </w:r>
          </w:p>
        </w:tc>
        <w:tc>
          <w:tcPr>
            <w:tcW w:w="1327" w:type="dxa"/>
            <w:gridSpan w:val="2"/>
            <w:tcBorders/>
            <w:shd w:fill="B6DEE8" w:val="clear"/>
            <w:vAlign w:val="center"/>
          </w:tcPr>
          <w:p>
            <w:pPr>
              <w:pStyle w:val="TableContents"/>
              <w:bidi w:val="0"/>
              <w:spacing w:before="0" w:after="283"/>
              <w:jc w:val="left"/>
              <w:rPr/>
            </w:pPr>
            <w:r>
              <w:rPr/>
              <w:t> </w:t>
            </w:r>
          </w:p>
        </w:tc>
        <w:tc>
          <w:tcPr>
            <w:tcW w:w="418" w:type="dxa"/>
            <w:tcBorders/>
            <w:shd w:fill="B6DEE8" w:val="clear"/>
            <w:vAlign w:val="center"/>
          </w:tcPr>
          <w:p>
            <w:pPr>
              <w:pStyle w:val="TableContents"/>
              <w:bidi w:val="0"/>
              <w:spacing w:before="0" w:after="283"/>
              <w:ind w:left="0" w:right="0" w:firstLine="200"/>
              <w:jc w:val="left"/>
              <w:rPr/>
            </w:pPr>
            <w:r>
              <w:rPr/>
              <w:t> </w:t>
            </w:r>
          </w:p>
        </w:tc>
      </w:tr>
      <w:tr>
        <w:trPr/>
        <w:tc>
          <w:tcPr>
            <w:tcW w:w="372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41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0" w:type="dxa"/>
            <w:tcBorders/>
            <w:shd w:fill="B6DEE8"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B6DEE8" w:val="clear"/>
            <w:vAlign w:val="center"/>
          </w:tcPr>
          <w:p>
            <w:pPr>
              <w:pStyle w:val="TableContents"/>
              <w:bidi w:val="0"/>
              <w:spacing w:before="0" w:after="283"/>
              <w:jc w:val="left"/>
              <w:rPr/>
            </w:pPr>
            <w:r>
              <w:rPr/>
              <w:t> </w:t>
            </w:r>
          </w:p>
        </w:tc>
        <w:tc>
          <w:tcPr>
            <w:tcW w:w="235"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2" w:type="dxa"/>
            <w:tcBorders/>
            <w:shd w:fill="B6DEE8" w:val="clear"/>
            <w:vAlign w:val="center"/>
          </w:tcPr>
          <w:p>
            <w:pPr>
              <w:pStyle w:val="TableContents"/>
              <w:bidi w:val="0"/>
              <w:spacing w:before="0" w:after="283"/>
              <w:jc w:val="left"/>
              <w:rPr/>
            </w:pPr>
            <w:r>
              <w:rPr/>
              <w:t> </w:t>
            </w:r>
          </w:p>
        </w:tc>
        <w:tc>
          <w:tcPr>
            <w:tcW w:w="235"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55" w:type="dxa"/>
            <w:tcBorders/>
            <w:shd w:fill="B6DEE8" w:val="clear"/>
            <w:vAlign w:val="center"/>
          </w:tcPr>
          <w:p>
            <w:pPr>
              <w:pStyle w:val="TableContents"/>
              <w:bidi w:val="0"/>
              <w:spacing w:before="0" w:after="283"/>
              <w:jc w:val="left"/>
              <w:rPr/>
            </w:pPr>
            <w:r>
              <w:rPr/>
              <w:t> </w:t>
            </w:r>
          </w:p>
        </w:tc>
        <w:tc>
          <w:tcPr>
            <w:tcW w:w="224"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41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potentially dilutive shares were excluded from the computation of diluted net income (loss) per share for the periods presented because including them would have been antidilutive:</w:t>
      </w:r>
    </w:p>
    <w:p>
      <w:pPr>
        <w:pStyle w:val="TextBody"/>
        <w:bidi w:val="0"/>
        <w:jc w:val="left"/>
        <w:rPr/>
      </w:pPr>
      <w:r>
        <w:rPr/>
        <w:t> </w:t>
      </w:r>
    </w:p>
    <w:tbl>
      <w:tblPr>
        <w:tblW w:w="8851" w:type="dxa"/>
        <w:jc w:val="left"/>
        <w:tblInd w:w="0" w:type="dxa"/>
        <w:tblLayout w:type="fixed"/>
        <w:tblCellMar>
          <w:top w:w="28" w:type="dxa"/>
          <w:left w:w="28" w:type="dxa"/>
          <w:bottom w:w="28" w:type="dxa"/>
          <w:right w:w="28" w:type="dxa"/>
        </w:tblCellMar>
      </w:tblPr>
      <w:tblGrid>
        <w:gridCol w:w="2086"/>
        <w:gridCol w:w="146"/>
        <w:gridCol w:w="223"/>
        <w:gridCol w:w="1193"/>
        <w:gridCol w:w="223"/>
        <w:gridCol w:w="223"/>
        <w:gridCol w:w="1422"/>
        <w:gridCol w:w="146"/>
        <w:gridCol w:w="203"/>
        <w:gridCol w:w="1090"/>
        <w:gridCol w:w="203"/>
        <w:gridCol w:w="203"/>
        <w:gridCol w:w="1299"/>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2024</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incentive awards</w:t>
            </w:r>
          </w:p>
        </w:tc>
        <w:tc>
          <w:tcPr>
            <w:tcW w:w="146"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pPr>
            <w:r>
              <w:rPr/>
              <w:t> </w:t>
            </w:r>
          </w:p>
        </w:tc>
        <w:tc>
          <w:tcPr>
            <w:tcW w:w="119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808,055</w:t>
            </w:r>
          </w:p>
        </w:tc>
        <w:tc>
          <w:tcPr>
            <w:tcW w:w="223"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pPr>
            <w:r>
              <w:rPr/>
              <w:t> </w:t>
            </w:r>
          </w:p>
        </w:tc>
        <w:tc>
          <w:tcPr>
            <w:tcW w:w="142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2,560,295</w:t>
            </w:r>
          </w:p>
        </w:tc>
        <w:tc>
          <w:tcPr>
            <w:tcW w:w="146" w:type="dxa"/>
            <w:tcBorders/>
            <w:shd w:fill="B6DEE8" w:val="clear"/>
            <w:vAlign w:val="center"/>
          </w:tcPr>
          <w:p>
            <w:pPr>
              <w:pStyle w:val="TableContents"/>
              <w:bidi w:val="0"/>
              <w:spacing w:before="0" w:after="283"/>
              <w:jc w:val="left"/>
              <w:rPr/>
            </w:pPr>
            <w:r>
              <w:rPr/>
              <w:t> </w:t>
            </w:r>
          </w:p>
        </w:tc>
        <w:tc>
          <w:tcPr>
            <w:tcW w:w="203" w:type="dxa"/>
            <w:tcBorders/>
            <w:shd w:fill="B6DEE8" w:val="clear"/>
            <w:vAlign w:val="center"/>
          </w:tcPr>
          <w:p>
            <w:pPr>
              <w:pStyle w:val="TableContents"/>
              <w:bidi w:val="0"/>
              <w:spacing w:before="0" w:after="283"/>
              <w:jc w:val="left"/>
              <w:rPr/>
            </w:pPr>
            <w:r>
              <w:rPr/>
              <w:t> </w:t>
            </w:r>
          </w:p>
        </w:tc>
        <w:tc>
          <w:tcPr>
            <w:tcW w:w="109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852,782</w:t>
            </w:r>
          </w:p>
        </w:tc>
        <w:tc>
          <w:tcPr>
            <w:tcW w:w="203" w:type="dxa"/>
            <w:tcBorders/>
            <w:shd w:fill="B6DEE8" w:val="clear"/>
            <w:vAlign w:val="center"/>
          </w:tcPr>
          <w:p>
            <w:pPr>
              <w:pStyle w:val="TableContents"/>
              <w:bidi w:val="0"/>
              <w:spacing w:before="0" w:after="283"/>
              <w:jc w:val="left"/>
              <w:rPr/>
            </w:pPr>
            <w:r>
              <w:rPr/>
              <w:t> </w:t>
            </w:r>
          </w:p>
        </w:tc>
        <w:tc>
          <w:tcPr>
            <w:tcW w:w="203" w:type="dxa"/>
            <w:tcBorders/>
            <w:shd w:fill="B6DEE8" w:val="clear"/>
            <w:vAlign w:val="center"/>
          </w:tcPr>
          <w:p>
            <w:pPr>
              <w:pStyle w:val="TableContents"/>
              <w:bidi w:val="0"/>
              <w:spacing w:before="0" w:after="283"/>
              <w:jc w:val="left"/>
              <w:rPr/>
            </w:pPr>
            <w:r>
              <w:rPr/>
              <w:t> </w:t>
            </w:r>
          </w:p>
        </w:tc>
        <w:tc>
          <w:tcPr>
            <w:tcW w:w="129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2,560,295</w:t>
            </w:r>
          </w:p>
        </w:tc>
        <w:tc>
          <w:tcPr>
            <w:tcW w:w="191" w:type="dxa"/>
            <w:tcBorders/>
            <w:shd w:fill="B6DEE8"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vAlign w:val="center"/>
          </w:tcPr>
          <w:p>
            <w:pPr>
              <w:pStyle w:val="TableContents"/>
              <w:bidi w:val="0"/>
              <w:spacing w:before="0" w:after="283"/>
              <w:jc w:val="left"/>
              <w:rPr/>
            </w:pPr>
            <w:r>
              <w:rPr/>
              <w:t> </w:t>
            </w:r>
          </w:p>
        </w:tc>
        <w:tc>
          <w:tcPr>
            <w:tcW w:w="22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808,055</w:t>
            </w:r>
          </w:p>
        </w:tc>
        <w:tc>
          <w:tcPr>
            <w:tcW w:w="22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2,872,795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852,782</w:t>
            </w:r>
          </w:p>
        </w:tc>
        <w:tc>
          <w:tcPr>
            <w:tcW w:w="20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2,872,795</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2"/>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3" w:type="dxa"/>
            <w:gridSpan w:val="2"/>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50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also excluded 11,444,235 public and private warrants and 49,653 earnout shares that were potentially dilutive from the computation of diluted net income (loss) for the three and six month periods ended June 30, 2024 and 2023, respectively, as including them would have been antidilutive. Refer to Note 9 Warrant Liabilities and Note 13 Fair Value of Financial Instruments for further details.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Recently Issued Accounting Pronouncements Not Yet Adopted: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("ASU") No. 2023-07, </w:t>
      </w:r>
      <w:r>
        <w:rPr>
          <w:rFonts w:ascii="Times New Roman" w:hAnsi="Times New Roman"/>
          <w:i/>
          <w:color w:val="000000"/>
          <w:sz w:val="20"/>
        </w:rPr>
        <w:t>Segment Reporting - Improvements to Reportable Segment Disclosures</w:t>
      </w:r>
      <w:r>
        <w:rPr>
          <w:rFonts w:ascii="Times New Roman" w:hAnsi="Times New Roman"/>
          <w:color w:val="000000"/>
          <w:sz w:val="20"/>
        </w:rPr>
        <w:t>. The amendments require disclosure of incremental segment information on an annual and interim basis. The amendments also require companies with a single reportable segment to provide all disclosures required by this amendment and all existing segment disclosures in Accounting Standards Codification 280, Segment Reporting. The amendments are effective for fiscal years beginning after December 15, 2023, and interim periods beginning after December 15, 2024. The Company expects the adoption of the standard to result in additional segment footnote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 Improvements to Income Tax Disclosures</w:t>
      </w:r>
      <w:r>
        <w:rPr>
          <w:rFonts w:ascii="Times New Roman" w:hAnsi="Times New Roman"/>
          <w:color w:val="000000"/>
          <w:sz w:val="20"/>
        </w:rPr>
        <w:t>. The amendments require enhanced disclosures in connection with an entity's effective tax rate reconciliation, income taxes paid disaggregated by jurisdiction, and clarification on uncertain tax positions and related financial statement impacts. The amendments are effective for annual periods beginning after December 15, 2024. The Company does not expect the adoption of the amendments to have a significant impact on its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Recently Adopted Accounting Pronouncements: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June 2016, the FASB issued ASU 2016-13, </w:t>
      </w:r>
      <w:r>
        <w:rPr>
          <w:rFonts w:ascii="Times New Roman" w:hAnsi="Times New Roman"/>
          <w:i/>
          <w:color w:val="000000"/>
          <w:sz w:val="20"/>
        </w:rPr>
        <w:t>Financial Instruments—Credit Losses (Topic 326): Measurement of Credit Losses on Financial Instruments (“ASU 2016-13”)</w:t>
      </w:r>
      <w:r>
        <w:rPr>
          <w:rFonts w:ascii="Times New Roman" w:hAnsi="Times New Roman"/>
          <w:color w:val="000000"/>
          <w:sz w:val="20"/>
        </w:rPr>
        <w:t xml:space="preserve">. ASU 2016-13 introduced a new credit loss 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The Company adopted this ASU on January 1, 2023 and determined that ASU 2016-13 had no material impact on the Company’s condensed consolidated financial statements and related disclosures.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In March 2020, the FASB issued ASU No. 2020-04, </w:t>
      </w:r>
      <w:r>
        <w:rPr>
          <w:rFonts w:ascii="Times New Roman" w:hAnsi="Times New Roman"/>
          <w:i/>
          <w:color w:val="000000"/>
          <w:sz w:val="20"/>
        </w:rPr>
        <w:t>Reference Rate Reform (Topic 848): Facilitation of the Effects of Reference Rate Reform on Financial Reporting</w:t>
      </w:r>
      <w:r>
        <w:rPr>
          <w:rFonts w:ascii="Times New Roman" w:hAnsi="Times New Roman"/>
          <w:color w:val="000000"/>
          <w:sz w:val="20"/>
        </w:rPr>
        <w:t>, which provides optional guidance for accounting for contracts, hedging relationships, and other transactions affected by reference rate reform if certain criteria are met. In December 2022, the FASB issued ASU No. 2022-06, Reference Rate Reform (Topic 848), Deferral of the Sunset Date of Topic 848. The amendments in this Update defer the sunset date of Topic 848 from December 31, 2022, to December 31, 2024, after which entities will no longer be permitted to apply the relief in Topic 848.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Marketable Securities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Below is a detail of marketable securities (</w:t>
      </w:r>
      <w:r>
        <w:rPr>
          <w:rFonts w:ascii="Times New Roman" w:hAnsi="Times New Roman"/>
          <w:i/>
          <w:color w:val="000000"/>
          <w:sz w:val="20"/>
        </w:rPr>
        <w:t>in thousands</w:t>
      </w:r>
      <w:r>
        <w:rPr>
          <w:rFonts w:ascii="Times New Roman" w:hAnsi="Times New Roman"/>
          <w:color w:val="000000"/>
          <w:sz w:val="20"/>
        </w:rPr>
        <w:t>):</w:t>
      </w:r>
    </w:p>
    <w:p>
      <w:pPr>
        <w:pStyle w:val="TextBody"/>
        <w:bidi w:val="0"/>
        <w:jc w:val="both"/>
        <w:rPr/>
      </w:pPr>
      <w:r>
        <w:rPr/>
        <w:t> </w:t>
      </w:r>
    </w:p>
    <w:tbl>
      <w:tblPr>
        <w:tblW w:w="5490" w:type="dxa"/>
        <w:jc w:val="left"/>
        <w:tblInd w:w="0" w:type="dxa"/>
        <w:tblLayout w:type="fixed"/>
        <w:tblCellMar>
          <w:top w:w="28" w:type="dxa"/>
          <w:left w:w="28" w:type="dxa"/>
          <w:bottom w:w="28" w:type="dxa"/>
          <w:right w:w="28" w:type="dxa"/>
        </w:tblCellMar>
      </w:tblPr>
      <w:tblGrid>
        <w:gridCol w:w="1861"/>
        <w:gridCol w:w="146"/>
        <w:gridCol w:w="510"/>
        <w:gridCol w:w="765"/>
        <w:gridCol w:w="146"/>
        <w:gridCol w:w="146"/>
        <w:gridCol w:w="574"/>
        <w:gridCol w:w="115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June 30, 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December 31, 2023</w:t>
            </w:r>
          </w:p>
        </w:tc>
        <w:tc>
          <w:tcPr>
            <w:tcW w:w="191" w:type="dxa"/>
            <w:tcBorders/>
            <w:shd w:fill="FFFFFF" w:val="clear"/>
            <w:vAlign w:val="center"/>
          </w:tcPr>
          <w:p>
            <w:pPr>
              <w:pStyle w:val="TableContents"/>
              <w:bidi w:val="0"/>
              <w:spacing w:before="0" w:after="283"/>
              <w:jc w:val="center"/>
              <w:rPr/>
            </w:pPr>
            <w:r>
              <w:rPr/>
              <w:t> </w:t>
            </w:r>
          </w:p>
        </w:tc>
      </w:tr>
      <w:tr>
        <w:trPr/>
        <w:tc>
          <w:tcPr>
            <w:tcW w:w="18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June 30, 2024 and December 31, 2023, the Company’s marketable securities consisted of investments in a publicly traded money market mutual fund. The underlying money market instruments were primarily comprised of certificates of deposit and financial company asset backed commercial paper. At June 30, 2024, the investment portfolio had a weighted-average maturity of 12 days. At December 31, 2023, the investment portfolio had a weighted-average maturity of 40 days. The gain recognized in connection with the investment in marketable securities for the three and six months ended June 30, 2024 was $0.01 million and $0.08 million, respectively, and recorded as a component of interest income in the condensed consolidated statements of operations. The gain recognized in connection with the investment in marketable securities for the three and six months ended June 30, 2023 was $0.2 million and $0.3 million, respectively, and recorded as a component of interest income in the condensed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Investments</w:t>
      </w:r>
    </w:p>
    <w:p>
      <w:pPr>
        <w:pStyle w:val="TextBody"/>
        <w:bidi w:val="0"/>
        <w:spacing w:before="120" w:after="283"/>
        <w:jc w:val="left"/>
        <w:rPr>
          <w:rFonts w:ascii="Times New Roman" w:hAnsi="Times New Roman"/>
          <w:sz w:val="20"/>
        </w:rPr>
      </w:pPr>
      <w:r>
        <w:rPr>
          <w:rFonts w:ascii="Times New Roman" w:hAnsi="Times New Roman"/>
          <w:color w:val="000000"/>
          <w:sz w:val="20"/>
        </w:rPr>
        <w:t>Below is a summary of investments, which are measured at fair value as of June 30, 2024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9366" w:type="dxa"/>
        <w:jc w:val="left"/>
        <w:tblInd w:w="0" w:type="dxa"/>
        <w:tblLayout w:type="fixed"/>
        <w:tblCellMar>
          <w:top w:w="28" w:type="dxa"/>
          <w:left w:w="28" w:type="dxa"/>
          <w:bottom w:w="28" w:type="dxa"/>
          <w:right w:w="28" w:type="dxa"/>
        </w:tblCellMar>
      </w:tblPr>
      <w:tblGrid>
        <w:gridCol w:w="1936"/>
        <w:gridCol w:w="146"/>
        <w:gridCol w:w="211"/>
        <w:gridCol w:w="676"/>
        <w:gridCol w:w="146"/>
        <w:gridCol w:w="146"/>
        <w:gridCol w:w="704"/>
        <w:gridCol w:w="1411"/>
        <w:gridCol w:w="146"/>
        <w:gridCol w:w="146"/>
        <w:gridCol w:w="661"/>
        <w:gridCol w:w="1514"/>
        <w:gridCol w:w="166"/>
        <w:gridCol w:w="146"/>
        <w:gridCol w:w="242"/>
        <w:gridCol w:w="778"/>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04"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66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4"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w:t>
            </w:r>
          </w:p>
        </w:tc>
        <w:tc>
          <w:tcPr>
            <w:tcW w:w="191" w:type="dxa"/>
            <w:tcBorders/>
            <w:shd w:fill="B6DEE8" w:val="clear"/>
            <w:vAlign w:val="center"/>
          </w:tcPr>
          <w:p>
            <w:pPr>
              <w:pStyle w:val="TableContents"/>
              <w:bidi w:val="0"/>
              <w:spacing w:before="0" w:after="283"/>
              <w:jc w:val="left"/>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39,433</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39,508</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Below is a summary of investments, which are measured at fair value as of December 31, 2023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9692" w:type="dxa"/>
        <w:jc w:val="left"/>
        <w:tblInd w:w="0" w:type="dxa"/>
        <w:tblLayout w:type="fixed"/>
        <w:tblCellMar>
          <w:top w:w="28" w:type="dxa"/>
          <w:left w:w="28" w:type="dxa"/>
          <w:bottom w:w="28" w:type="dxa"/>
          <w:right w:w="28" w:type="dxa"/>
        </w:tblCellMar>
      </w:tblPr>
      <w:tblGrid>
        <w:gridCol w:w="2011"/>
        <w:gridCol w:w="146"/>
        <w:gridCol w:w="211"/>
        <w:gridCol w:w="781"/>
        <w:gridCol w:w="146"/>
        <w:gridCol w:w="146"/>
        <w:gridCol w:w="569"/>
        <w:gridCol w:w="1546"/>
        <w:gridCol w:w="146"/>
        <w:gridCol w:w="146"/>
        <w:gridCol w:w="661"/>
        <w:gridCol w:w="1514"/>
        <w:gridCol w:w="166"/>
        <w:gridCol w:w="146"/>
        <w:gridCol w:w="217"/>
        <w:gridCol w:w="803"/>
        <w:gridCol w:w="146"/>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69,412</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69" w:type="dxa"/>
            <w:tcBorders/>
            <w:shd w:fill="B6DEE8" w:val="clear"/>
            <w:vAlign w:val="center"/>
          </w:tcPr>
          <w:p>
            <w:pPr>
              <w:pStyle w:val="TableContents"/>
              <w:bidi w:val="0"/>
              <w:spacing w:before="0" w:after="283"/>
              <w:jc w:val="left"/>
              <w:rPr/>
            </w:pPr>
            <w:r>
              <w:rPr/>
              <w:t> </w:t>
            </w:r>
          </w:p>
        </w:tc>
        <w:tc>
          <w:tcPr>
            <w:tcW w:w="15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661" w:type="dxa"/>
            <w:tcBorders/>
            <w:shd w:fill="B6DEE8" w:val="clear"/>
            <w:vAlign w:val="center"/>
          </w:tcPr>
          <w:p>
            <w:pPr>
              <w:pStyle w:val="TableContents"/>
              <w:bidi w:val="0"/>
              <w:spacing w:before="0" w:after="283"/>
              <w:jc w:val="left"/>
              <w:rPr/>
            </w:pPr>
            <w:r>
              <w:rPr/>
              <w:t> </w:t>
            </w:r>
          </w:p>
        </w:tc>
        <w:tc>
          <w:tcPr>
            <w:tcW w:w="1514"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17" w:type="dxa"/>
            <w:tcBorders/>
            <w:shd w:fill="B6DEE8" w:val="clear"/>
            <w:vAlign w:val="center"/>
          </w:tcPr>
          <w:p>
            <w:pPr>
              <w:pStyle w:val="TableContents"/>
              <w:bidi w:val="0"/>
              <w:spacing w:before="0" w:after="283"/>
              <w:jc w:val="left"/>
              <w:rPr/>
            </w:pPr>
            <w:r>
              <w:rPr/>
              <w:t> </w:t>
            </w:r>
          </w:p>
        </w:tc>
        <w:tc>
          <w:tcPr>
            <w:tcW w:w="80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B6DEE8"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112,577</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113,226</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gross unrealized losses and fair values of available-for-sale investment securities that were in unrealized loss positions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41"/>
        <w:gridCol w:w="146"/>
        <w:gridCol w:w="227"/>
        <w:gridCol w:w="731"/>
        <w:gridCol w:w="151"/>
        <w:gridCol w:w="151"/>
        <w:gridCol w:w="456"/>
        <w:gridCol w:w="815"/>
        <w:gridCol w:w="166"/>
        <w:gridCol w:w="146"/>
        <w:gridCol w:w="227"/>
        <w:gridCol w:w="731"/>
        <w:gridCol w:w="146"/>
        <w:gridCol w:w="146"/>
        <w:gridCol w:w="386"/>
        <w:gridCol w:w="885"/>
        <w:gridCol w:w="166"/>
        <w:gridCol w:w="146"/>
        <w:gridCol w:w="227"/>
        <w:gridCol w:w="731"/>
        <w:gridCol w:w="146"/>
        <w:gridCol w:w="146"/>
        <w:gridCol w:w="386"/>
        <w:gridCol w:w="885"/>
        <w:gridCol w:w="221"/>
      </w:tblGrid>
      <w:tr>
        <w:trPr/>
        <w:tc>
          <w:tcPr>
            <w:tcW w:w="1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2024</w:t>
            </w:r>
          </w:p>
        </w:tc>
        <w:tc>
          <w:tcPr>
            <w:tcW w:w="146" w:type="dxa"/>
            <w:tcBorders/>
            <w:shd w:fill="FFFFFF" w:val="clear"/>
            <w:vAlign w:val="center"/>
          </w:tcPr>
          <w:p>
            <w:pPr>
              <w:pStyle w:val="TableContents"/>
              <w:bidi w:val="0"/>
              <w:spacing w:before="0" w:after="283"/>
              <w:jc w:val="center"/>
              <w:rPr/>
            </w:pPr>
            <w:r>
              <w:rPr/>
              <w:t> </w:t>
            </w:r>
          </w:p>
        </w:tc>
        <w:tc>
          <w:tcPr>
            <w:tcW w:w="2531"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center"/>
              <w:rPr/>
            </w:pPr>
            <w:r>
              <w:rPr/>
              <w:t> </w:t>
            </w:r>
          </w:p>
        </w:tc>
      </w:tr>
      <w:tr>
        <w:trPr/>
        <w:tc>
          <w:tcPr>
            <w:tcW w:w="1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B6DEE8" w:val="clear"/>
            <w:vAlign w:val="center"/>
          </w:tcPr>
          <w:p>
            <w:pPr>
              <w:pStyle w:val="TableContents"/>
              <w:bidi w:val="0"/>
              <w:spacing w:before="0" w:after="283"/>
              <w:jc w:val="left"/>
              <w:rPr/>
            </w:pPr>
            <w:r>
              <w:rPr/>
              <w:t> </w:t>
            </w:r>
          </w:p>
        </w:tc>
        <w:tc>
          <w:tcPr>
            <w:tcW w:w="227" w:type="dxa"/>
            <w:tcBorders/>
            <w:shd w:fill="B6DEE8" w:val="clear"/>
            <w:vAlign w:val="center"/>
          </w:tcPr>
          <w:p>
            <w:pPr>
              <w:pStyle w:val="TableContents"/>
              <w:bidi w:val="0"/>
              <w:spacing w:before="0" w:after="283"/>
              <w:jc w:val="left"/>
              <w:rPr/>
            </w:pPr>
            <w:r>
              <w:rPr/>
              <w:t> </w:t>
            </w:r>
          </w:p>
        </w:tc>
        <w:tc>
          <w:tcPr>
            <w:tcW w:w="73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1" w:type="dxa"/>
            <w:tcBorders/>
            <w:shd w:fill="B6DEE8" w:val="clear"/>
            <w:vAlign w:val="center"/>
          </w:tcPr>
          <w:p>
            <w:pPr>
              <w:pStyle w:val="TableContents"/>
              <w:bidi w:val="0"/>
              <w:spacing w:before="0" w:after="283"/>
              <w:jc w:val="left"/>
              <w:rPr/>
            </w:pPr>
            <w:r>
              <w:rPr/>
              <w:t> </w:t>
            </w:r>
          </w:p>
        </w:tc>
        <w:tc>
          <w:tcPr>
            <w:tcW w:w="151" w:type="dxa"/>
            <w:tcBorders/>
            <w:shd w:fill="B6DEE8" w:val="clear"/>
            <w:vAlign w:val="center"/>
          </w:tcPr>
          <w:p>
            <w:pPr>
              <w:pStyle w:val="TableContents"/>
              <w:bidi w:val="0"/>
              <w:spacing w:before="0" w:after="283"/>
              <w:jc w:val="left"/>
              <w:rPr/>
            </w:pPr>
            <w:r>
              <w:rPr/>
              <w:t> </w:t>
            </w:r>
          </w:p>
        </w:tc>
        <w:tc>
          <w:tcPr>
            <w:tcW w:w="456" w:type="dxa"/>
            <w:tcBorders/>
            <w:shd w:fill="B6DEE8" w:val="clear"/>
            <w:vAlign w:val="center"/>
          </w:tcPr>
          <w:p>
            <w:pPr>
              <w:pStyle w:val="TableContents"/>
              <w:bidi w:val="0"/>
              <w:spacing w:before="0" w:after="283"/>
              <w:jc w:val="left"/>
              <w:rPr/>
            </w:pPr>
            <w:r>
              <w:rPr/>
              <w:t> </w:t>
            </w:r>
          </w:p>
        </w:tc>
        <w:tc>
          <w:tcPr>
            <w:tcW w:w="81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7" w:type="dxa"/>
            <w:tcBorders/>
            <w:shd w:fill="B6DEE8" w:val="clear"/>
            <w:vAlign w:val="center"/>
          </w:tcPr>
          <w:p>
            <w:pPr>
              <w:pStyle w:val="TableContents"/>
              <w:bidi w:val="0"/>
              <w:spacing w:before="0" w:after="283"/>
              <w:jc w:val="left"/>
              <w:rPr/>
            </w:pPr>
            <w:r>
              <w:rPr/>
              <w:t> </w:t>
            </w:r>
          </w:p>
        </w:tc>
        <w:tc>
          <w:tcPr>
            <w:tcW w:w="73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86" w:type="dxa"/>
            <w:tcBorders/>
            <w:shd w:fill="B6DEE8" w:val="clear"/>
            <w:vAlign w:val="center"/>
          </w:tcPr>
          <w:p>
            <w:pPr>
              <w:pStyle w:val="TableContents"/>
              <w:bidi w:val="0"/>
              <w:spacing w:before="0" w:after="283"/>
              <w:jc w:val="left"/>
              <w:rPr/>
            </w:pPr>
            <w:r>
              <w:rPr/>
              <w:t> </w:t>
            </w:r>
          </w:p>
        </w:tc>
        <w:tc>
          <w:tcPr>
            <w:tcW w:w="88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7" w:type="dxa"/>
            <w:tcBorders/>
            <w:shd w:fill="B6DEE8" w:val="clear"/>
            <w:vAlign w:val="center"/>
          </w:tcPr>
          <w:p>
            <w:pPr>
              <w:pStyle w:val="TableContents"/>
              <w:bidi w:val="0"/>
              <w:spacing w:before="0" w:after="283"/>
              <w:jc w:val="left"/>
              <w:rPr/>
            </w:pPr>
            <w:r>
              <w:rPr/>
              <w:t> </w:t>
            </w:r>
          </w:p>
        </w:tc>
        <w:tc>
          <w:tcPr>
            <w:tcW w:w="73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86" w:type="dxa"/>
            <w:tcBorders/>
            <w:shd w:fill="B6DEE8" w:val="clear"/>
            <w:vAlign w:val="center"/>
          </w:tcPr>
          <w:p>
            <w:pPr>
              <w:pStyle w:val="TableContents"/>
              <w:bidi w:val="0"/>
              <w:spacing w:before="0" w:after="283"/>
              <w:jc w:val="left"/>
              <w:rPr/>
            </w:pPr>
            <w:r>
              <w:rPr/>
              <w:t> </w:t>
            </w:r>
          </w:p>
        </w:tc>
        <w:tc>
          <w:tcPr>
            <w:tcW w:w="88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1" w:type="dxa"/>
            <w:tcBorders/>
            <w:shd w:fill="B6DEE8" w:val="clear"/>
            <w:vAlign w:val="center"/>
          </w:tcPr>
          <w:p>
            <w:pPr>
              <w:pStyle w:val="TableContents"/>
              <w:bidi w:val="0"/>
              <w:spacing w:before="0" w:after="283"/>
              <w:jc w:val="left"/>
              <w:rPr/>
            </w:pPr>
            <w:r>
              <w:rPr/>
              <w:t> </w:t>
            </w:r>
          </w:p>
        </w:tc>
      </w:tr>
      <w:tr>
        <w:trPr/>
        <w:tc>
          <w:tcPr>
            <w:tcW w:w="1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9,725</w:t>
            </w:r>
          </w:p>
        </w:tc>
        <w:tc>
          <w:tcPr>
            <w:tcW w:w="15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13,703</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w:t>
            </w:r>
          </w:p>
        </w:tc>
        <w:tc>
          <w:tcPr>
            <w:tcW w:w="22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r>
      <w:tr>
        <w:trPr/>
        <w:tc>
          <w:tcPr>
            <w:tcW w:w="1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146" w:type="dxa"/>
            <w:tcBorders/>
            <w:shd w:fill="FFFFFF" w:val="clear"/>
            <w:vAlign w:val="center"/>
          </w:tcPr>
          <w:p>
            <w:pPr>
              <w:pStyle w:val="TableContents"/>
              <w:bidi w:val="0"/>
              <w:spacing w:before="0" w:after="283"/>
              <w:jc w:val="center"/>
              <w:rPr/>
            </w:pPr>
            <w:r>
              <w:rPr/>
              <w:t> </w:t>
            </w:r>
          </w:p>
        </w:tc>
        <w:tc>
          <w:tcPr>
            <w:tcW w:w="2531"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center"/>
              <w:rPr/>
            </w:pPr>
            <w:r>
              <w:rPr/>
              <w:t> </w:t>
            </w:r>
          </w:p>
        </w:tc>
      </w:tr>
      <w:tr>
        <w:trPr/>
        <w:tc>
          <w:tcPr>
            <w:tcW w:w="1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9,271</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B6DEE8" w:val="clear"/>
            <w:vAlign w:val="center"/>
          </w:tcPr>
          <w:p>
            <w:pPr>
              <w:pStyle w:val="TableContents"/>
              <w:bidi w:val="0"/>
              <w:spacing w:before="0" w:after="283"/>
              <w:jc w:val="left"/>
              <w:rPr/>
            </w:pPr>
            <w:r>
              <w:rPr/>
              <w:t> </w:t>
            </w:r>
          </w:p>
        </w:tc>
        <w:tc>
          <w:tcPr>
            <w:tcW w:w="227" w:type="dxa"/>
            <w:tcBorders/>
            <w:shd w:fill="B6DEE8" w:val="clear"/>
            <w:vAlign w:val="center"/>
          </w:tcPr>
          <w:p>
            <w:pPr>
              <w:pStyle w:val="TableContents"/>
              <w:bidi w:val="0"/>
              <w:spacing w:before="0" w:after="283"/>
              <w:jc w:val="left"/>
              <w:rPr/>
            </w:pPr>
            <w:r>
              <w:rPr/>
              <w:t> </w:t>
            </w:r>
          </w:p>
        </w:tc>
        <w:tc>
          <w:tcPr>
            <w:tcW w:w="73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1" w:type="dxa"/>
            <w:tcBorders/>
            <w:shd w:fill="B6DEE8" w:val="clear"/>
            <w:vAlign w:val="center"/>
          </w:tcPr>
          <w:p>
            <w:pPr>
              <w:pStyle w:val="TableContents"/>
              <w:bidi w:val="0"/>
              <w:spacing w:before="0" w:after="283"/>
              <w:jc w:val="left"/>
              <w:rPr/>
            </w:pPr>
            <w:r>
              <w:rPr/>
              <w:t> </w:t>
            </w:r>
          </w:p>
        </w:tc>
        <w:tc>
          <w:tcPr>
            <w:tcW w:w="151" w:type="dxa"/>
            <w:tcBorders/>
            <w:shd w:fill="B6DEE8" w:val="clear"/>
            <w:vAlign w:val="center"/>
          </w:tcPr>
          <w:p>
            <w:pPr>
              <w:pStyle w:val="TableContents"/>
              <w:bidi w:val="0"/>
              <w:spacing w:before="0" w:after="283"/>
              <w:jc w:val="left"/>
              <w:rPr/>
            </w:pPr>
            <w:r>
              <w:rPr/>
              <w:t> </w:t>
            </w:r>
          </w:p>
        </w:tc>
        <w:tc>
          <w:tcPr>
            <w:tcW w:w="456" w:type="dxa"/>
            <w:tcBorders/>
            <w:shd w:fill="B6DEE8" w:val="clear"/>
            <w:vAlign w:val="center"/>
          </w:tcPr>
          <w:p>
            <w:pPr>
              <w:pStyle w:val="TableContents"/>
              <w:bidi w:val="0"/>
              <w:spacing w:before="0" w:after="283"/>
              <w:jc w:val="left"/>
              <w:rPr/>
            </w:pPr>
            <w:r>
              <w:rPr/>
              <w:t> </w:t>
            </w:r>
          </w:p>
        </w:tc>
        <w:tc>
          <w:tcPr>
            <w:tcW w:w="81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7" w:type="dxa"/>
            <w:tcBorders/>
            <w:shd w:fill="B6DEE8" w:val="clear"/>
            <w:vAlign w:val="center"/>
          </w:tcPr>
          <w:p>
            <w:pPr>
              <w:pStyle w:val="TableContents"/>
              <w:bidi w:val="0"/>
              <w:spacing w:before="0" w:after="283"/>
              <w:jc w:val="left"/>
              <w:rPr/>
            </w:pPr>
            <w:r>
              <w:rPr/>
              <w:t> </w:t>
            </w:r>
          </w:p>
        </w:tc>
        <w:tc>
          <w:tcPr>
            <w:tcW w:w="73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86" w:type="dxa"/>
            <w:tcBorders/>
            <w:shd w:fill="B6DEE8" w:val="clear"/>
            <w:vAlign w:val="center"/>
          </w:tcPr>
          <w:p>
            <w:pPr>
              <w:pStyle w:val="TableContents"/>
              <w:bidi w:val="0"/>
              <w:spacing w:before="0" w:after="283"/>
              <w:jc w:val="left"/>
              <w:rPr/>
            </w:pPr>
            <w:r>
              <w:rPr/>
              <w:t> </w:t>
            </w:r>
          </w:p>
        </w:tc>
        <w:tc>
          <w:tcPr>
            <w:tcW w:w="88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7" w:type="dxa"/>
            <w:tcBorders/>
            <w:shd w:fill="B6DEE8" w:val="clear"/>
            <w:vAlign w:val="center"/>
          </w:tcPr>
          <w:p>
            <w:pPr>
              <w:pStyle w:val="TableContents"/>
              <w:bidi w:val="0"/>
              <w:spacing w:before="0" w:after="283"/>
              <w:jc w:val="left"/>
              <w:rPr/>
            </w:pPr>
            <w:r>
              <w:rPr/>
              <w:t> </w:t>
            </w:r>
          </w:p>
        </w:tc>
        <w:tc>
          <w:tcPr>
            <w:tcW w:w="73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86" w:type="dxa"/>
            <w:tcBorders/>
            <w:shd w:fill="B6DEE8" w:val="clear"/>
            <w:vAlign w:val="center"/>
          </w:tcPr>
          <w:p>
            <w:pPr>
              <w:pStyle w:val="TableContents"/>
              <w:bidi w:val="0"/>
              <w:spacing w:before="0" w:after="283"/>
              <w:jc w:val="left"/>
              <w:rPr/>
            </w:pPr>
            <w:r>
              <w:rPr/>
              <w:t> </w:t>
            </w:r>
          </w:p>
        </w:tc>
        <w:tc>
          <w:tcPr>
            <w:tcW w:w="88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13,084</w:t>
            </w:r>
          </w:p>
        </w:tc>
        <w:tc>
          <w:tcPr>
            <w:tcW w:w="15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15,263</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28,348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w:t>
            </w:r>
          </w:p>
        </w:tc>
        <w:tc>
          <w:tcPr>
            <w:tcW w:w="22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gain recorded in connection with the investments for the three and six months ended June 30, 2024, was $0.03 million and $0.9 million, respectively, and was recorded as a component of interest income in the condensed consolidated statements of operations. The gain recorded in connection with the investment for the three and six months ended June 30, 2023, was $0.2 million and $0.3 million, respectively. Accrued interest of $0.2 million and $1.2 million is included in investments within the condensed consolidated balance sheets for the periods ended June 30, 2024 and 2023,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Unrealized losses on the available-for-sale investment securities as of June 30, 2024 and December 31, 2023 are primarily the result of increases in interest rates as a significant portion of the investments were purchased prior to the Federal reserve commenced interest rate increases in 2022. The Company does not intend to sell nor anticipate that it will be required to sell these investments before recovery of the amortized cost basis. As such, unrealized losses were determined not to be related to credit losses and the Company did not record any credit-related impairment losses on the available-for-sale investment securities during the three and six months ended June 30, 2024 and 2023.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As of June 30, 2024, the contractual maturities of available-for-sale investment securities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180" w:type="dxa"/>
        <w:jc w:val="left"/>
        <w:tblInd w:w="0" w:type="dxa"/>
        <w:tblLayout w:type="fixed"/>
        <w:tblCellMar>
          <w:top w:w="28" w:type="dxa"/>
          <w:left w:w="28" w:type="dxa"/>
          <w:bottom w:w="28" w:type="dxa"/>
          <w:right w:w="28" w:type="dxa"/>
        </w:tblCellMar>
      </w:tblPr>
      <w:tblGrid>
        <w:gridCol w:w="3106"/>
        <w:gridCol w:w="146"/>
        <w:gridCol w:w="338"/>
        <w:gridCol w:w="1087"/>
        <w:gridCol w:w="146"/>
        <w:gridCol w:w="146"/>
        <w:gridCol w:w="242"/>
        <w:gridCol w:w="778"/>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35,210</w:t>
            </w:r>
          </w:p>
        </w:tc>
        <w:tc>
          <w:tcPr>
            <w:tcW w:w="191" w:type="dxa"/>
            <w:tcBorders/>
            <w:shd w:fill="FFFFFF" w:val="clear"/>
            <w:vAlign w:val="center"/>
          </w:tcPr>
          <w:p>
            <w:pPr>
              <w:pStyle w:val="TableContents"/>
              <w:bidi w:val="0"/>
              <w:spacing w:before="0" w:after="283"/>
              <w:jc w:val="left"/>
              <w:rPr/>
            </w:pPr>
            <w:r>
              <w:rPr/>
              <w:t> </w:t>
            </w:r>
          </w:p>
        </w:tc>
      </w:tr>
      <w:tr>
        <w:trPr/>
        <w:tc>
          <w:tcPr>
            <w:tcW w:w="310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Member Advances,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Member advances, net, represent outstanding advances, tips, and processing fees, net of direct origination costs, less an allowance for credit losses.</w:t>
      </w:r>
    </w:p>
    <w:p>
      <w:pPr>
        <w:pStyle w:val="TextBody"/>
        <w:bidi w:val="0"/>
        <w:spacing w:before="120" w:after="283"/>
        <w:jc w:val="left"/>
        <w:rPr>
          <w:rFonts w:ascii="Times New Roman" w:hAnsi="Times New Roman"/>
          <w:sz w:val="20"/>
        </w:rPr>
      </w:pPr>
      <w:r>
        <w:rPr>
          <w:rFonts w:ascii="Times New Roman" w:hAnsi="Times New Roman"/>
          <w:color w:val="000000"/>
          <w:sz w:val="20"/>
        </w:rPr>
        <w:t>Below is a detail of Member advances, net as of June 30, 2024</w:t>
      </w:r>
      <w:r>
        <w:rPr>
          <w:rFonts w:ascii="Times New Roman" w:hAnsi="Times New Roman"/>
          <w:color w:val="FF00FF"/>
          <w:sz w:val="20"/>
        </w:rPr>
        <w:t xml:space="preserve"> </w:t>
      </w:r>
      <w:r>
        <w:rPr>
          <w:rFonts w:ascii="Times New Roman" w:hAnsi="Times New Roman"/>
          <w:color w:val="000000"/>
          <w:sz w:val="20"/>
        </w:rPr>
        <w:t>(</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9807" w:type="dxa"/>
        <w:jc w:val="left"/>
        <w:tblInd w:w="0" w:type="dxa"/>
        <w:tblLayout w:type="fixed"/>
        <w:tblCellMar>
          <w:top w:w="28" w:type="dxa"/>
          <w:left w:w="28" w:type="dxa"/>
          <w:bottom w:w="28" w:type="dxa"/>
          <w:right w:w="28" w:type="dxa"/>
        </w:tblCellMar>
      </w:tblPr>
      <w:tblGrid>
        <w:gridCol w:w="2116"/>
        <w:gridCol w:w="146"/>
        <w:gridCol w:w="472"/>
        <w:gridCol w:w="1748"/>
        <w:gridCol w:w="146"/>
        <w:gridCol w:w="146"/>
        <w:gridCol w:w="549"/>
        <w:gridCol w:w="1926"/>
        <w:gridCol w:w="166"/>
        <w:gridCol w:w="146"/>
        <w:gridCol w:w="437"/>
        <w:gridCol w:w="1618"/>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vAlign w:val="center"/>
          </w:tcPr>
          <w:p>
            <w:pPr>
              <w:pStyle w:val="TableContents"/>
              <w:bidi w:val="0"/>
              <w:spacing w:before="0" w:after="283"/>
              <w:jc w:val="center"/>
              <w:rPr/>
            </w:pPr>
            <w:r>
              <w:rPr/>
              <w:t> </w:t>
            </w:r>
          </w:p>
        </w:tc>
        <w:tc>
          <w:tcPr>
            <w:tcW w:w="2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Member Advances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 Advances, 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1-10</w:t>
            </w:r>
          </w:p>
        </w:tc>
        <w:tc>
          <w:tcPr>
            <w:tcW w:w="146" w:type="dxa"/>
            <w:tcBorders/>
            <w:shd w:fill="B6DEE8" w:val="clear"/>
            <w:vAlign w:val="center"/>
          </w:tcPr>
          <w:p>
            <w:pPr>
              <w:pStyle w:val="TableContents"/>
              <w:bidi w:val="0"/>
              <w:spacing w:before="0" w:after="283"/>
              <w:jc w:val="left"/>
              <w:rPr/>
            </w:pPr>
            <w:r>
              <w:rPr/>
              <w:t> </w:t>
            </w:r>
          </w:p>
        </w:tc>
        <w:tc>
          <w:tcPr>
            <w:tcW w:w="47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108,921</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4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437"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106,469</w:t>
            </w:r>
          </w:p>
        </w:tc>
        <w:tc>
          <w:tcPr>
            <w:tcW w:w="191" w:type="dxa"/>
            <w:tcBorders/>
            <w:shd w:fill="B6DEE8"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11-30</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pPr>
            <w:r>
              <w:rPr/>
              <w:t> </w:t>
            </w:r>
          </w:p>
        </w:tc>
        <w:tc>
          <w:tcPr>
            <w:tcW w:w="1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16,237</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w:t>
            </w:r>
          </w:p>
        </w:tc>
        <w:tc>
          <w:tcPr>
            <w:tcW w:w="146" w:type="dxa"/>
            <w:tcBorders/>
            <w:shd w:fill="B6DEE8" w:val="clear"/>
            <w:vAlign w:val="center"/>
          </w:tcPr>
          <w:p>
            <w:pPr>
              <w:pStyle w:val="TableContents"/>
              <w:bidi w:val="0"/>
              <w:spacing w:before="0" w:after="283"/>
              <w:jc w:val="left"/>
              <w:rPr/>
            </w:pPr>
            <w:r>
              <w:rPr/>
              <w:t> </w:t>
            </w:r>
          </w:p>
        </w:tc>
        <w:tc>
          <w:tcPr>
            <w:tcW w:w="472" w:type="dxa"/>
            <w:tcBorders/>
            <w:shd w:fill="B6DEE8" w:val="clear"/>
            <w:vAlign w:val="center"/>
          </w:tcPr>
          <w:p>
            <w:pPr>
              <w:pStyle w:val="TableContents"/>
              <w:bidi w:val="0"/>
              <w:spacing w:before="0" w:after="283"/>
              <w:jc w:val="left"/>
              <w:rPr/>
            </w:pPr>
            <w:r>
              <w:rPr/>
              <w:t> </w:t>
            </w:r>
          </w:p>
        </w:tc>
        <w:tc>
          <w:tcPr>
            <w:tcW w:w="174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49" w:type="dxa"/>
            <w:tcBorders/>
            <w:shd w:fill="B6DEE8" w:val="clear"/>
            <w:vAlign w:val="center"/>
          </w:tcPr>
          <w:p>
            <w:pPr>
              <w:pStyle w:val="TableContents"/>
              <w:bidi w:val="0"/>
              <w:spacing w:before="0" w:after="283"/>
              <w:jc w:val="left"/>
              <w:rPr/>
            </w:pPr>
            <w:r>
              <w:rPr/>
              <w:t> </w:t>
            </w:r>
          </w:p>
        </w:tc>
        <w:tc>
          <w:tcPr>
            <w:tcW w:w="19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437" w:type="dxa"/>
            <w:tcBorders/>
            <w:shd w:fill="B6DEE8" w:val="clear"/>
            <w:vAlign w:val="center"/>
          </w:tcPr>
          <w:p>
            <w:pPr>
              <w:pStyle w:val="TableContents"/>
              <w:bidi w:val="0"/>
              <w:spacing w:before="0" w:after="283"/>
              <w:jc w:val="left"/>
              <w:rPr/>
            </w:pPr>
            <w:r>
              <w:rPr/>
              <w:t> </w:t>
            </w:r>
          </w:p>
        </w:tc>
        <w:tc>
          <w:tcPr>
            <w:tcW w:w="161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91" w:type="dxa"/>
            <w:tcBorders/>
            <w:shd w:fill="B6DEE8"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pPr>
            <w:r>
              <w:rPr/>
              <w:t> </w:t>
            </w:r>
          </w:p>
        </w:tc>
        <w:tc>
          <w:tcPr>
            <w:tcW w:w="1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2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1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127,759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Below is a detail of member advances, net as of December 31, 2023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9807" w:type="dxa"/>
        <w:jc w:val="left"/>
        <w:tblInd w:w="0" w:type="dxa"/>
        <w:tblLayout w:type="fixed"/>
        <w:tblCellMar>
          <w:top w:w="28" w:type="dxa"/>
          <w:left w:w="28" w:type="dxa"/>
          <w:bottom w:w="28" w:type="dxa"/>
          <w:right w:w="28" w:type="dxa"/>
        </w:tblCellMar>
      </w:tblPr>
      <w:tblGrid>
        <w:gridCol w:w="2116"/>
        <w:gridCol w:w="146"/>
        <w:gridCol w:w="472"/>
        <w:gridCol w:w="1748"/>
        <w:gridCol w:w="146"/>
        <w:gridCol w:w="146"/>
        <w:gridCol w:w="549"/>
        <w:gridCol w:w="1926"/>
        <w:gridCol w:w="166"/>
        <w:gridCol w:w="146"/>
        <w:gridCol w:w="437"/>
        <w:gridCol w:w="1618"/>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vAlign w:val="center"/>
          </w:tcPr>
          <w:p>
            <w:pPr>
              <w:pStyle w:val="TableContents"/>
              <w:bidi w:val="0"/>
              <w:spacing w:before="0" w:after="283"/>
              <w:jc w:val="center"/>
              <w:rPr/>
            </w:pPr>
            <w:r>
              <w:rPr/>
              <w:t> </w:t>
            </w:r>
          </w:p>
        </w:tc>
        <w:tc>
          <w:tcPr>
            <w:tcW w:w="2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Member Advances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 Advances, 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1-10</w:t>
            </w:r>
          </w:p>
        </w:tc>
        <w:tc>
          <w:tcPr>
            <w:tcW w:w="146" w:type="dxa"/>
            <w:tcBorders/>
            <w:shd w:fill="B6DEE8" w:val="clear"/>
            <w:vAlign w:val="center"/>
          </w:tcPr>
          <w:p>
            <w:pPr>
              <w:pStyle w:val="TableContents"/>
              <w:bidi w:val="0"/>
              <w:spacing w:before="0" w:after="283"/>
              <w:jc w:val="left"/>
              <w:rPr/>
            </w:pPr>
            <w:r>
              <w:rPr/>
              <w:t> </w:t>
            </w:r>
          </w:p>
        </w:tc>
        <w:tc>
          <w:tcPr>
            <w:tcW w:w="47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4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437"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95,877</w:t>
            </w:r>
          </w:p>
        </w:tc>
        <w:tc>
          <w:tcPr>
            <w:tcW w:w="191" w:type="dxa"/>
            <w:tcBorders/>
            <w:shd w:fill="B6DEE8"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11-30</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pPr>
            <w:r>
              <w:rPr/>
              <w:t> </w:t>
            </w:r>
          </w:p>
        </w:tc>
        <w:tc>
          <w:tcPr>
            <w:tcW w:w="1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12,422</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w:t>
            </w:r>
          </w:p>
        </w:tc>
        <w:tc>
          <w:tcPr>
            <w:tcW w:w="146" w:type="dxa"/>
            <w:tcBorders/>
            <w:shd w:fill="B6DEE8" w:val="clear"/>
            <w:vAlign w:val="center"/>
          </w:tcPr>
          <w:p>
            <w:pPr>
              <w:pStyle w:val="TableContents"/>
              <w:bidi w:val="0"/>
              <w:spacing w:before="0" w:after="283"/>
              <w:jc w:val="left"/>
              <w:rPr/>
            </w:pPr>
            <w:r>
              <w:rPr/>
              <w:t> </w:t>
            </w:r>
          </w:p>
        </w:tc>
        <w:tc>
          <w:tcPr>
            <w:tcW w:w="472" w:type="dxa"/>
            <w:tcBorders/>
            <w:shd w:fill="B6DEE8" w:val="clear"/>
            <w:vAlign w:val="center"/>
          </w:tcPr>
          <w:p>
            <w:pPr>
              <w:pStyle w:val="TableContents"/>
              <w:bidi w:val="0"/>
              <w:spacing w:before="0" w:after="283"/>
              <w:jc w:val="left"/>
              <w:rPr/>
            </w:pPr>
            <w:r>
              <w:rPr/>
              <w:t> </w:t>
            </w:r>
          </w:p>
        </w:tc>
        <w:tc>
          <w:tcPr>
            <w:tcW w:w="174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49" w:type="dxa"/>
            <w:tcBorders/>
            <w:shd w:fill="B6DEE8" w:val="clear"/>
            <w:vAlign w:val="center"/>
          </w:tcPr>
          <w:p>
            <w:pPr>
              <w:pStyle w:val="TableContents"/>
              <w:bidi w:val="0"/>
              <w:spacing w:before="0" w:after="283"/>
              <w:jc w:val="left"/>
              <w:rPr/>
            </w:pPr>
            <w:r>
              <w:rPr/>
              <w:t> </w:t>
            </w:r>
          </w:p>
        </w:tc>
        <w:tc>
          <w:tcPr>
            <w:tcW w:w="19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437" w:type="dxa"/>
            <w:tcBorders/>
            <w:shd w:fill="B6DEE8" w:val="clear"/>
            <w:vAlign w:val="center"/>
          </w:tcPr>
          <w:p>
            <w:pPr>
              <w:pStyle w:val="TableContents"/>
              <w:bidi w:val="0"/>
              <w:spacing w:before="0" w:after="283"/>
              <w:jc w:val="left"/>
              <w:rPr/>
            </w:pPr>
            <w:r>
              <w:rPr/>
              <w:t> </w:t>
            </w:r>
          </w:p>
        </w:tc>
        <w:tc>
          <w:tcPr>
            <w:tcW w:w="161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91" w:type="dxa"/>
            <w:tcBorders/>
            <w:shd w:fill="B6DEE8"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pPr>
            <w:r>
              <w:rPr/>
              <w:t> </w:t>
            </w:r>
          </w:p>
        </w:tc>
        <w:tc>
          <w:tcPr>
            <w:tcW w:w="1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2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1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The roll-forward of the allowance for credit losses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4081"/>
        <w:gridCol w:w="146"/>
        <w:gridCol w:w="146"/>
        <w:gridCol w:w="146"/>
        <w:gridCol w:w="211"/>
        <w:gridCol w:w="736"/>
        <w:gridCol w:w="21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20,310</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provision for credit losses</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3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24,308</w:t>
            </w:r>
          </w:p>
        </w:tc>
        <w:tc>
          <w:tcPr>
            <w:tcW w:w="211" w:type="dxa"/>
            <w:tcBorders/>
            <w:shd w:fill="B6DEE8"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amounts recovered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written-off</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(29,903</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June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24,501</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provision for credit losses</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3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27,878</w:t>
            </w:r>
          </w:p>
        </w:tc>
        <w:tc>
          <w:tcPr>
            <w:tcW w:w="211" w:type="dxa"/>
            <w:tcBorders/>
            <w:shd w:fill="B6DEE8"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amounts recovered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written-off</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(39,283</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June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credit losses for the six months ended June 30, 2024 was lower compared to the six months ended June 30, 2023, due primarily to improved collections performance throughout period. The decrease in amounts written-off for the six months ended June 30, 2024 compared to the six months ended June 30, 2023, was also primarily a result of improved collections performance period over period.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Intangible Assets, Net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Company’s intangible assets, net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76"/>
        <w:gridCol w:w="146"/>
        <w:gridCol w:w="1061"/>
        <w:gridCol w:w="146"/>
        <w:gridCol w:w="228"/>
        <w:gridCol w:w="732"/>
        <w:gridCol w:w="146"/>
        <w:gridCol w:w="146"/>
        <w:gridCol w:w="291"/>
        <w:gridCol w:w="1018"/>
        <w:gridCol w:w="166"/>
        <w:gridCol w:w="146"/>
        <w:gridCol w:w="218"/>
        <w:gridCol w:w="698"/>
        <w:gridCol w:w="146"/>
        <w:gridCol w:w="146"/>
        <w:gridCol w:w="228"/>
        <w:gridCol w:w="732"/>
        <w:gridCol w:w="146"/>
        <w:gridCol w:w="328"/>
        <w:gridCol w:w="982"/>
        <w:gridCol w:w="166"/>
        <w:gridCol w:w="218"/>
        <w:gridCol w:w="698"/>
        <w:gridCol w:w="197"/>
      </w:tblGrid>
      <w:tr>
        <w:trPr/>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 developed software</w:t>
            </w:r>
          </w:p>
        </w:tc>
        <w:tc>
          <w:tcPr>
            <w:tcW w:w="146" w:type="dxa"/>
            <w:tcBorders/>
            <w:shd w:fill="B6DEE8" w:val="clear"/>
            <w:vAlign w:val="center"/>
          </w:tcPr>
          <w:p>
            <w:pPr>
              <w:pStyle w:val="TableContents"/>
              <w:bidi w:val="0"/>
              <w:spacing w:before="0" w:after="283"/>
              <w:jc w:val="left"/>
              <w:rPr/>
            </w:pPr>
            <w:r>
              <w:rPr/>
              <w:t> </w:t>
            </w:r>
          </w:p>
        </w:tc>
        <w:tc>
          <w:tcPr>
            <w:tcW w:w="1061" w:type="dxa"/>
            <w:tcBorders/>
            <w:shd w:fill="B6DE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 Years</w:t>
            </w:r>
          </w:p>
        </w:tc>
        <w:tc>
          <w:tcPr>
            <w:tcW w:w="146" w:type="dxa"/>
            <w:tcBorders/>
            <w:shd w:fill="B6DEE8" w:val="clear"/>
            <w:vAlign w:val="center"/>
          </w:tcPr>
          <w:p>
            <w:pPr>
              <w:pStyle w:val="TableContents"/>
              <w:bidi w:val="0"/>
              <w:spacing w:before="0" w:after="283"/>
              <w:jc w:val="left"/>
              <w:rPr/>
            </w:pPr>
            <w:r>
              <w:rPr/>
              <w:t> </w:t>
            </w:r>
          </w:p>
        </w:tc>
        <w:tc>
          <w:tcPr>
            <w:tcW w:w="22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1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21,601</w:t>
            </w:r>
          </w:p>
        </w:tc>
        <w:tc>
          <w:tcPr>
            <w:tcW w:w="146" w:type="dxa"/>
            <w:tcBorders/>
            <w:shd w:fill="B6DEE8" w:val="clear"/>
            <w:vAlign w:val="center"/>
          </w:tcPr>
          <w:p>
            <w:pPr>
              <w:pStyle w:val="TableContents"/>
              <w:bidi w:val="0"/>
              <w:spacing w:before="0" w:after="283"/>
              <w:jc w:val="left"/>
              <w:rPr/>
            </w:pPr>
            <w:r>
              <w:rPr/>
              <w:t> </w:t>
            </w:r>
          </w:p>
        </w:tc>
        <w:tc>
          <w:tcPr>
            <w:tcW w:w="32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(8,461</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w:t>
            </w:r>
          </w:p>
        </w:tc>
        <w:tc>
          <w:tcPr>
            <w:tcW w:w="197" w:type="dxa"/>
            <w:tcBorders/>
            <w:shd w:fill="B6DEE8" w:val="clear"/>
            <w:vAlign w:val="center"/>
          </w:tcPr>
          <w:p>
            <w:pPr>
              <w:pStyle w:val="TableContents"/>
              <w:bidi w:val="0"/>
              <w:spacing w:before="0" w:after="283"/>
              <w:jc w:val="left"/>
              <w:rPr/>
            </w:pPr>
            <w:r>
              <w:rPr/>
              <w:t> </w:t>
            </w:r>
          </w:p>
        </w:tc>
      </w:tr>
      <w:tr>
        <w:trPr/>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Domain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net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25,489</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(11,594</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13,895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21,722</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(8,516</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13,206</w:t>
            </w:r>
          </w:p>
        </w:tc>
        <w:tc>
          <w:tcPr>
            <w:tcW w:w="19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future estimated amortization expenses as of June 30, 2024,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3812" w:type="dxa"/>
        <w:jc w:val="left"/>
        <w:tblInd w:w="0" w:type="dxa"/>
        <w:tblLayout w:type="fixed"/>
        <w:tblCellMar>
          <w:top w:w="28" w:type="dxa"/>
          <w:left w:w="28" w:type="dxa"/>
          <w:bottom w:w="28" w:type="dxa"/>
          <w:right w:w="28" w:type="dxa"/>
        </w:tblCellMar>
      </w:tblPr>
      <w:tblGrid>
        <w:gridCol w:w="2296"/>
        <w:gridCol w:w="146"/>
        <w:gridCol w:w="146"/>
        <w:gridCol w:w="146"/>
        <w:gridCol w:w="211"/>
        <w:gridCol w:w="67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191" w:type="dxa"/>
            <w:tcBorders/>
            <w:shd w:fill="B6DEE8"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w:t>
            </w:r>
          </w:p>
        </w:tc>
        <w:tc>
          <w:tcPr>
            <w:tcW w:w="191" w:type="dxa"/>
            <w:tcBorders/>
            <w:shd w:fill="FFFFFF" w:val="clear"/>
            <w:vAlign w:val="center"/>
          </w:tcPr>
          <w:p>
            <w:pPr>
              <w:pStyle w:val="TableContents"/>
              <w:bidi w:val="0"/>
              <w:spacing w:before="0" w:after="283"/>
              <w:jc w:val="left"/>
              <w:rPr/>
            </w:pPr>
            <w:r>
              <w:rPr/>
              <w:t> </w:t>
            </w:r>
          </w:p>
        </w:tc>
      </w:tr>
      <w:tr>
        <w:trPr/>
        <w:tc>
          <w:tcPr>
            <w:tcW w:w="229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67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91" w:type="dxa"/>
            <w:tcBorders/>
            <w:shd w:fill="B6DEE8"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191" w:type="dxa"/>
            <w:tcBorders/>
            <w:shd w:fill="FFFFFF" w:val="clear"/>
            <w:vAlign w:val="center"/>
          </w:tcPr>
          <w:p>
            <w:pPr>
              <w:pStyle w:val="TableContents"/>
              <w:bidi w:val="0"/>
              <w:spacing w:before="0" w:after="283"/>
              <w:jc w:val="left"/>
              <w:rPr/>
            </w:pPr>
            <w:r>
              <w:rPr/>
              <w:t> </w:t>
            </w:r>
          </w:p>
        </w:tc>
      </w:tr>
      <w:tr>
        <w:trPr/>
        <w:tc>
          <w:tcPr>
            <w:tcW w:w="229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future amortization</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expense for the three and six months ended June 30, 2024 was $1.6 million and $3.1 million, respectively. Amortization expense for the three and six months ended June 30, 2023 was $1.1 million and $2.2 million, respectively. No impairment charges were recognized related to long-lived assets for the for the three and six months ended June 30, 2024 and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did not incur any amortization expense related to any changes in useful life of its definite-lived intangible assets for the three and six months ended June 30, 2024. Amortization expense related to the change in useful life of a certain definite-lived intangible asset for the three and six months ended June 30, 2023, was $0.1 and $0.3 million,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accrued expenses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6885" w:type="dxa"/>
        <w:jc w:val="left"/>
        <w:tblInd w:w="0" w:type="dxa"/>
        <w:tblLayout w:type="fixed"/>
        <w:tblCellMar>
          <w:top w:w="28" w:type="dxa"/>
          <w:left w:w="28" w:type="dxa"/>
          <w:bottom w:w="28" w:type="dxa"/>
          <w:right w:w="28" w:type="dxa"/>
        </w:tblCellMar>
      </w:tblPr>
      <w:tblGrid>
        <w:gridCol w:w="3256"/>
        <w:gridCol w:w="146"/>
        <w:gridCol w:w="303"/>
        <w:gridCol w:w="972"/>
        <w:gridCol w:w="146"/>
        <w:gridCol w:w="146"/>
        <w:gridCol w:w="409"/>
        <w:gridCol w:w="1316"/>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program fees</w:t>
            </w:r>
          </w:p>
        </w:tc>
        <w:tc>
          <w:tcPr>
            <w:tcW w:w="146" w:type="dxa"/>
            <w:tcBorders/>
            <w:shd w:fill="B6DEE8" w:val="clear"/>
            <w:vAlign w:val="center"/>
          </w:tcPr>
          <w:p>
            <w:pPr>
              <w:pStyle w:val="TableContents"/>
              <w:bidi w:val="0"/>
              <w:spacing w:before="0" w:after="283"/>
              <w:jc w:val="left"/>
              <w:rPr/>
            </w:pPr>
            <w:r>
              <w:rPr/>
              <w:t> </w:t>
            </w:r>
          </w:p>
        </w:tc>
        <w:tc>
          <w:tcPr>
            <w:tcW w:w="303"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0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91" w:type="dxa"/>
            <w:tcBorders/>
            <w:shd w:fill="B6DEE8"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w:t>
            </w:r>
          </w:p>
        </w:tc>
        <w:tc>
          <w:tcPr>
            <w:tcW w:w="191" w:type="dxa"/>
            <w:tcBorders/>
            <w:shd w:fill="FFFFFF" w:val="clear"/>
            <w:vAlign w:val="center"/>
          </w:tcPr>
          <w:p>
            <w:pPr>
              <w:pStyle w:val="TableContents"/>
              <w:bidi w:val="0"/>
              <w:spacing w:before="0" w:after="283"/>
              <w:jc w:val="left"/>
              <w:rPr/>
            </w:pPr>
            <w:r>
              <w:rPr/>
              <w:t> </w:t>
            </w:r>
          </w:p>
        </w:tc>
      </w:tr>
      <w:tr>
        <w:trPr/>
        <w:tc>
          <w:tcPr>
            <w:tcW w:w="32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B6DEE8" w:val="clear"/>
            <w:vAlign w:val="center"/>
          </w:tcPr>
          <w:p>
            <w:pPr>
              <w:pStyle w:val="TableContents"/>
              <w:bidi w:val="0"/>
              <w:spacing w:before="0" w:after="283"/>
              <w:jc w:val="left"/>
              <w:rPr/>
            </w:pPr>
            <w:r>
              <w:rPr/>
              <w:t> </w:t>
            </w:r>
          </w:p>
        </w:tc>
        <w:tc>
          <w:tcPr>
            <w:tcW w:w="303" w:type="dxa"/>
            <w:tcBorders/>
            <w:shd w:fill="B6DEE8" w:val="clear"/>
            <w:vAlign w:val="center"/>
          </w:tcPr>
          <w:p>
            <w:pPr>
              <w:pStyle w:val="TableContents"/>
              <w:bidi w:val="0"/>
              <w:spacing w:before="0" w:after="283"/>
              <w:jc w:val="left"/>
              <w:rPr/>
            </w:pPr>
            <w:r>
              <w:rPr/>
              <w:t> </w:t>
            </w:r>
          </w:p>
        </w:tc>
        <w:tc>
          <w:tcPr>
            <w:tcW w:w="97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09" w:type="dxa"/>
            <w:tcBorders/>
            <w:shd w:fill="B6DEE8" w:val="clear"/>
            <w:vAlign w:val="center"/>
          </w:tcPr>
          <w:p>
            <w:pPr>
              <w:pStyle w:val="TableContents"/>
              <w:bidi w:val="0"/>
              <w:spacing w:before="0" w:after="283"/>
              <w:jc w:val="left"/>
              <w:rPr/>
            </w:pPr>
            <w:r>
              <w:rPr/>
              <w:t> </w:t>
            </w:r>
          </w:p>
        </w:tc>
        <w:tc>
          <w:tcPr>
            <w:tcW w:w="131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B6DEE8"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charitable contributions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91" w:type="dxa"/>
            <w:tcBorders/>
            <w:shd w:fill="FFFFFF" w:val="clear"/>
            <w:vAlign w:val="center"/>
          </w:tcPr>
          <w:p>
            <w:pPr>
              <w:pStyle w:val="TableContents"/>
              <w:bidi w:val="0"/>
              <w:spacing w:before="0" w:after="283"/>
              <w:jc w:val="left"/>
              <w:rPr/>
            </w:pPr>
            <w:r>
              <w:rPr/>
              <w:t> </w:t>
            </w:r>
          </w:p>
        </w:tc>
      </w:tr>
      <w:tr>
        <w:trPr/>
        <w:tc>
          <w:tcPr>
            <w:tcW w:w="32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negative account balances</w:t>
            </w:r>
          </w:p>
        </w:tc>
        <w:tc>
          <w:tcPr>
            <w:tcW w:w="146" w:type="dxa"/>
            <w:tcBorders/>
            <w:shd w:fill="B6DEE8" w:val="clear"/>
            <w:vAlign w:val="center"/>
          </w:tcPr>
          <w:p>
            <w:pPr>
              <w:pStyle w:val="TableContents"/>
              <w:bidi w:val="0"/>
              <w:spacing w:before="0" w:after="283"/>
              <w:jc w:val="left"/>
              <w:rPr/>
            </w:pPr>
            <w:r>
              <w:rPr/>
              <w:t> </w:t>
            </w:r>
          </w:p>
        </w:tc>
        <w:tc>
          <w:tcPr>
            <w:tcW w:w="303" w:type="dxa"/>
            <w:tcBorders/>
            <w:shd w:fill="B6DEE8" w:val="clear"/>
            <w:vAlign w:val="center"/>
          </w:tcPr>
          <w:p>
            <w:pPr>
              <w:pStyle w:val="TableContents"/>
              <w:bidi w:val="0"/>
              <w:spacing w:before="0" w:after="283"/>
              <w:jc w:val="left"/>
              <w:rPr/>
            </w:pPr>
            <w:r>
              <w:rPr/>
              <w:t> </w:t>
            </w:r>
          </w:p>
        </w:tc>
        <w:tc>
          <w:tcPr>
            <w:tcW w:w="97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09" w:type="dxa"/>
            <w:tcBorders/>
            <w:shd w:fill="B6DEE8" w:val="clear"/>
            <w:vAlign w:val="center"/>
          </w:tcPr>
          <w:p>
            <w:pPr>
              <w:pStyle w:val="TableContents"/>
              <w:bidi w:val="0"/>
              <w:spacing w:before="0" w:after="283"/>
              <w:jc w:val="left"/>
              <w:rPr/>
            </w:pPr>
            <w:r>
              <w:rPr/>
              <w:t> </w:t>
            </w:r>
          </w:p>
        </w:tc>
        <w:tc>
          <w:tcPr>
            <w:tcW w:w="131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91" w:type="dxa"/>
            <w:tcBorders/>
            <w:shd w:fill="B6DEE8"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91" w:type="dxa"/>
            <w:tcBorders/>
            <w:shd w:fill="FFFFFF" w:val="clear"/>
            <w:vAlign w:val="center"/>
          </w:tcPr>
          <w:p>
            <w:pPr>
              <w:pStyle w:val="TableContents"/>
              <w:bidi w:val="0"/>
              <w:spacing w:before="0" w:after="283"/>
              <w:jc w:val="left"/>
              <w:rPr/>
            </w:pPr>
            <w:r>
              <w:rPr/>
              <w:t> </w:t>
            </w:r>
          </w:p>
        </w:tc>
      </w:tr>
      <w:tr>
        <w:trPr/>
        <w:tc>
          <w:tcPr>
            <w:tcW w:w="32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Accrued charitable contributions includes amounts the Company has pledged related to meal donations. The Company uses a portion of tips received to make a charitable cash donation to a third party who uses the funds to provide meals to those in need. For the three and six months ended June 30, 2024, the Company pledged approximately $1.0 million and $1.9 million related to charitable donations, respectively. For the three and six months ended June 30, 2023, the Company pledged approximately $0.7 million and $3.2 million related to charitable donations, respectively. These costs are expensed as incurred and are presented within other operating expenses in the condensed consolidated statements of operations.</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Current Liabilities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other current liabilities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5835" w:type="dxa"/>
        <w:jc w:val="left"/>
        <w:tblInd w:w="0" w:type="dxa"/>
        <w:tblLayout w:type="fixed"/>
        <w:tblCellMar>
          <w:top w:w="28" w:type="dxa"/>
          <w:left w:w="28" w:type="dxa"/>
          <w:bottom w:w="28" w:type="dxa"/>
          <w:right w:w="28" w:type="dxa"/>
        </w:tblCellMar>
      </w:tblPr>
      <w:tblGrid>
        <w:gridCol w:w="2206"/>
        <w:gridCol w:w="146"/>
        <w:gridCol w:w="344"/>
        <w:gridCol w:w="931"/>
        <w:gridCol w:w="146"/>
        <w:gridCol w:w="146"/>
        <w:gridCol w:w="465"/>
        <w:gridCol w:w="1260"/>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center"/>
              <w:rPr/>
            </w:pPr>
            <w:r>
              <w:rPr/>
              <w:t> </w:t>
            </w:r>
          </w:p>
        </w:tc>
        <w:tc>
          <w:tcPr>
            <w:tcW w:w="1275" w:type="dxa"/>
            <w:gridSpan w:val="2"/>
            <w:tcBorders/>
            <w:shd w:fill="B6DEE8"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June 30, 2024</w:t>
            </w:r>
          </w:p>
        </w:tc>
        <w:tc>
          <w:tcPr>
            <w:tcW w:w="146" w:type="dxa"/>
            <w:tcBorders/>
            <w:shd w:fill="B6DEE8" w:val="clear"/>
            <w:vAlign w:val="center"/>
          </w:tcPr>
          <w:p>
            <w:pPr>
              <w:pStyle w:val="TableContents"/>
              <w:bidi w:val="0"/>
              <w:spacing w:before="0" w:after="283"/>
              <w:jc w:val="center"/>
              <w:rPr/>
            </w:pPr>
            <w:r>
              <w:rPr/>
              <w:t> </w:t>
            </w:r>
          </w:p>
        </w:tc>
        <w:tc>
          <w:tcPr>
            <w:tcW w:w="146" w:type="dxa"/>
            <w:tcBorders/>
            <w:shd w:fill="B6DEE8" w:val="clear"/>
            <w:vAlign w:val="center"/>
          </w:tcPr>
          <w:p>
            <w:pPr>
              <w:pStyle w:val="TableContents"/>
              <w:bidi w:val="0"/>
              <w:spacing w:before="0" w:after="283"/>
              <w:jc w:val="center"/>
              <w:rPr/>
            </w:pPr>
            <w:r>
              <w:rPr/>
              <w:t> </w:t>
            </w:r>
          </w:p>
        </w:tc>
        <w:tc>
          <w:tcPr>
            <w:tcW w:w="1725" w:type="dxa"/>
            <w:gridSpan w:val="2"/>
            <w:tcBorders/>
            <w:shd w:fill="B6DEE8"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December 31, 2023</w:t>
            </w:r>
          </w:p>
        </w:tc>
        <w:tc>
          <w:tcPr>
            <w:tcW w:w="191" w:type="dxa"/>
            <w:tcBorders/>
            <w:shd w:fill="B6DEE8" w:val="cle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costs</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Other current liabilities includes $3.2 million in deferred transaction costs associated with the transactions consummated on January 5, 2022 as contemplated by that certain Agreement and Plan of Merger, dated as of June 7, 2021 among VPC Impact Acquisition Holdings III, Inc. (“VPCC”), Dave Inc., a Delaware corporation (“Legacy Dave”), and other entities (the “Business Combination”). These transaction costs were also capitalized and included within additional paid-in capital in the condensed consolidated balance sheets. </w:t>
      </w:r>
    </w:p>
    <w:p>
      <w:pPr>
        <w:pStyle w:val="TextBody"/>
        <w:bidi w:val="0"/>
        <w:spacing w:before="360" w:after="283"/>
        <w:jc w:val="left"/>
        <w:rPr>
          <w:rFonts w:ascii="Times New Roman" w:hAnsi="Times New Roman"/>
          <w:sz w:val="20"/>
        </w:rPr>
      </w:pPr>
      <w:r>
        <w:rPr>
          <w:rFonts w:ascii="Times New Roman" w:hAnsi="Times New Roman"/>
          <w:b/>
          <w:color w:val="000000"/>
          <w:sz w:val="20"/>
        </w:rPr>
        <w:t>Note 8 Convertible Note Payable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21, 2022, the Company entered into a Convertible Note Purchase Agreement (“Purchase Agreement”) with FTX Ventures Ltd. (the “Purchaser”), owner of FTX US (“FTX”), providing for the purchase and sale of a convertible note in the initial principal amount of $100.0 million (the “Note”). The Note bore interest at a rate of 3.00% per year (compounded semiannually), payable semi-annually in arrears on June 30th and December 31st of each year. Interest may be paid in-kind or in cash, at the Company’s option. Forty-eight months (the “Maturity Date”) after the date of the initial issuance of the Note (the “Issuance Date”), the Company would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29, 2024, the Company repurchased the $105.7 million outstanding balance of the Note as of January 29, 2024 for $71.0 million. The Company reduced the net carrying amount of debt by unamortized debt issuance costs of $0.03 million at the extinguishment date. The Company also incurred third-party costs totaling $1.3 million in conjunction with the settlement of the Note. The third-party costs are included in the reacquisition price and the gain on extinguishment of $33.4 million was calculated as the difference between the net carrying amount of debt and the reacquisition price. </w:t>
      </w:r>
    </w:p>
    <w:p>
      <w:pPr>
        <w:pStyle w:val="TextBody"/>
        <w:bidi w:val="0"/>
        <w:spacing w:before="360" w:after="283"/>
        <w:jc w:val="left"/>
        <w:rPr>
          <w:rFonts w:ascii="Times New Roman" w:hAnsi="Times New Roman"/>
          <w:sz w:val="20"/>
        </w:rPr>
      </w:pPr>
      <w:r>
        <w:rPr>
          <w:rFonts w:ascii="Times New Roman" w:hAnsi="Times New Roman"/>
          <w:b/>
          <w:color w:val="000000"/>
          <w:sz w:val="20"/>
        </w:rPr>
        <w:t>Note 9 Warrant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there were 6,344,021 public warrants (“Public Warrants”) outstanding and 5,100,214 private placement warrants (“Private Warrants”) outstanding.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Public Warrants and the Private Warrants have an exercise price of $368 per share, subject to adjustments and will expire five years after the completion of the Business Combination or earlier upon redemption or liquidation.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Redemption of Public Warrants when the price per share of Class A Common Stock equals or exceeds $576.00: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 for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 whole and not in part;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at a price of $0.01 per warrant;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upon a minimum of 30 days prior written notice of redemption; and if, and only if, the closing price of Class A Common Stock equals or exceeds $576.00 per share (as adjusted) for any 20 trading days within a 30-trading day period ending on the third trading day prior to the date on which the Company sends the notice of redemption to the warrant 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Redemption of Public Warrants for when the price per share of Class A Common Stock equals or exceeds $320.00: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in whole and not in part;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if, and only if, the closing price of Class A Common Stock equals or exceeds $320.00 per Public Share (as adjusted) for any 20 trading days within the 30-trading day period ending three trading days before the Company sends notice of redemption to the warrant 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Contemporaneously with the execution of the Debt Facility, the Company issued warrants to the Lenders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$120.0656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Immediately prior to the close of the Business Combination, all, or 1,664,394 of the vested warrants were exercised and net settled for 14,087 shares of Legacy Dave’s Class A Common Stock after applying the exchange ratio.</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10 Debt Facility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2021, Dave OD Funding I, LLC (“Borrower”) entered into a delayed draw senior secured loan facility (the “Debt Facility”) with Victory Park Management, LLC (“Agent”), and allowed the Borrower to draw up to $100 million from various lenders (the “Lenders”) associated with Victory Park Management, LLC. The Debt Facility had an interest rate of 6.95% annually plus a base rate defined as the greater of the three-month London interbank offered rate ("LIBOR") as of the last business day of each calendar month and 2.55%. Interest is payable monthly in arrears. The Debt Facility contained certain financial covenants, including a requirement to maintain a minimum cash, cash equivalents, or marketable securities balance of $8.0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13, 2023, the Company executed the Third Amendment to the Debt Facility with the existing Lenders. The Third Amendment, among other things: (i) increases the secured loan facility commitment amount by $50 million to a total of $150 million; (ii) extends the maturity date of the Debt Facility from January 2025 to December 2026; (iii) adds a liquidity trigger threshold, measured as of the last day of any calendar month, equal to the lesser of (a) the trailing six-month EBITDA as of such date, (b) the product of (A) the trailing three-month EBITDA as of such date, multiplied by (B) two (2), and (c) zero ($0); (iv) increases the minimum liquidity threshold, a requirement to maintain a minimum cash, cash equivalents, or marketable securities balance, from $8.0 million to $15 million; (v) replaces LIBOR with the secured overnight financing rate ("SOFR") and updates interest rates to the base rate (or if greater, SOFR for such date for a 3-month tenor and 3.00%) plus 5.00% per annum on that portion of the aggregate outstanding principal balance that is less than or equal to $75 million, plus the base rate plus 4.50% per annum on that portion of the aggregate outstanding principal balance, if any, that is greater than $75 million; (vi) updates prepayment premiums for early or voluntary principal repayments; and (vii) the Company's guaranty (the limited guaranty was secured by a first-priority lien against substantially all of the Company's assets) of up to $25,000,000 of the Borrower's obligations under the Debt Facility has been terminated.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Payments of the loan draws are due at the following dates: (i) within five business days after the date of receipt by the Borrower of any net cash proceeds in excess of $0.25 million in the aggregate during any fiscal year from any asset sales (other than certain permitted dispositions), Borrower must prepay the loans or remit such net cash proceeds in an aggregate amount equal to 100% of such net cash proceeds; (ii) within five business days after the date of receipt by Borrower, or the Agent as loss payee, of any net cash proceeds from any destruction or taking, the Borrower must prepay the loans or remit such net cash proceeds in an aggregate amount equal to 100% of such net cash proceeds; (iii) within three business days after the date of receipt by Borrower of any net cash proceeds from the incurrence of any indebtedness of Borrower (other than with respect to permitted borrower indebtedness), the Borrower will prepay the loans or remit such net cash proceeds in an aggregate amount equal to 100% of such net cash proceeds; and (iv) (a) if extraordinary receipts are received by Borrower in the aggregate amount in any fiscal year in excess of $0.25 million or (b) if an event of default has occurred and is continuing at any time when any extraordinary receipts are received by Borrower, then within five business days of the receipt by Borrower of any such extraordinary receipts, the Borrower must prepay the loans or remit such net cash proceeds in an aggregate amount equal to (x) 100% of such extraordinary receipts in excess of $0.25 million in respect of clause (a) above and (y) 100% of such extraordinary receipts in respect of clause (b) above.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and December 31, 2023, the Company had drawn $75.0 million on the Debt Facility and had made no repayments.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Third Amendment was accounted for as a debt modification and, accordingly, the Company capitalized $0.4 million of financing costs which will be recognized within the statement of operations evenly through maturity date of the Debt Facility, no gain or loss was recognized. As of June 30, 2024, the Company was in compliance with all covenants.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11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is subject to various legal proceedings and claims, either asserted or unasserted, that arise in the ordinary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outcome of the various legal proceedings and claims cannot be predicted with certainty, management does not believe that any of these proceedings or claims will have a significant adverse effect on the Company’s business, financial condition, results of operations, or cash flows.</w:t>
      </w:r>
    </w:p>
    <w:p>
      <w:pPr>
        <w:pStyle w:val="TextBody"/>
        <w:bidi w:val="0"/>
        <w:jc w:val="left"/>
        <w:rPr/>
      </w:pPr>
      <w:r>
        <w:rPr/>
        <w:t> </w:t>
      </w:r>
    </w:p>
    <w:p>
      <w:pPr>
        <w:pStyle w:val="TextBody"/>
        <w:bidi w:val="0"/>
        <w:jc w:val="left"/>
        <w:rPr>
          <w:rFonts w:ascii="Times New Roman" w:hAnsi="Times New Roman"/>
          <w:color w:val="222222"/>
          <w:sz w:val="20"/>
        </w:rPr>
      </w:pPr>
      <w:r>
        <w:rPr>
          <w:rFonts w:ascii="Times New Roman" w:hAnsi="Times New Roman"/>
          <w:color w:val="222222"/>
          <w:sz w:val="20"/>
        </w:rPr>
        <w:t>On July 10, 2024, the parties in the Lopez matter reached a settlement agreement in mediation, which is subject to approval by the court. As of June 30, 2024, the Company had recorded a total reserve for legal settlements of $1.2 million, offset by an insurance receivable of $0.6 million.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Leases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2019, the Company entered into a lease agreement with PCJW for office space located in Los Angeles, California. The lease term is seven years, beginning January 1, 2019 and ending December 31, 2025. The current monthly lease payment is $0.02 million, subject to an annual escalation of 5%.</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2018, the Company entered into a sublease agreement with PCJW, controlled by Company’s founders (including the Company’s CEO), for general office space next to the aforementioned leased property in Los Angeles, California. The lease term was five years subject to early termination by either party, beginning November 2018 and ending October 2023. In November 2023, the Company extended the sublease for five more years ending October 2028. Under the terms of the sublease, the current monthly rent is $0.006 million, subject to an annual escalation of 4%.</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All leases were classified as operating and operating lease expenses are presented within Other operating expenses in the condensed consolidated statements of operations. The Company does not have any finance leases or sublease arrangements where the Company is the sublessor. The Company’s leasing activities are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4925" w:type="dxa"/>
        <w:jc w:val="left"/>
        <w:tblInd w:w="0" w:type="dxa"/>
        <w:tblLayout w:type="fixed"/>
        <w:tblCellMar>
          <w:top w:w="28" w:type="dxa"/>
          <w:left w:w="28" w:type="dxa"/>
          <w:bottom w:w="28" w:type="dxa"/>
          <w:right w:w="28" w:type="dxa"/>
        </w:tblCellMar>
      </w:tblPr>
      <w:tblGrid>
        <w:gridCol w:w="1801"/>
        <w:gridCol w:w="146"/>
        <w:gridCol w:w="425"/>
        <w:gridCol w:w="850"/>
        <w:gridCol w:w="237"/>
        <w:gridCol w:w="425"/>
        <w:gridCol w:w="850"/>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7" w:type="dxa"/>
            <w:gridSpan w:val="5"/>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91" w:type="dxa"/>
            <w:tcBorders/>
            <w:shd w:fill="FFFFFF" w:val="clear"/>
            <w:vAlign w:val="center"/>
          </w:tcPr>
          <w:p>
            <w:pPr>
              <w:pStyle w:val="TableContents"/>
              <w:bidi w:val="0"/>
              <w:spacing w:before="0" w:after="283"/>
              <w:jc w:val="center"/>
              <w:rPr/>
            </w:pPr>
            <w:r>
              <w:rPr/>
              <w:t> </w:t>
            </w:r>
          </w:p>
        </w:tc>
      </w:tr>
      <w:tr>
        <w:trPr/>
        <w:tc>
          <w:tcPr>
            <w:tcW w:w="1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B6DEE8" w:val="clear"/>
            <w:vAlign w:val="center"/>
          </w:tcPr>
          <w:p>
            <w:pPr>
              <w:pStyle w:val="TableContents"/>
              <w:bidi w:val="0"/>
              <w:spacing w:before="0" w:after="283"/>
              <w:jc w:val="left"/>
              <w:rPr/>
            </w:pPr>
            <w:r>
              <w:rPr/>
              <w:t> </w:t>
            </w:r>
          </w:p>
        </w:tc>
        <w:tc>
          <w:tcPr>
            <w:tcW w:w="425"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37" w:type="dxa"/>
            <w:tcBorders/>
            <w:shd w:fill="B6DEE8" w:val="clear"/>
            <w:vAlign w:val="center"/>
          </w:tcPr>
          <w:p>
            <w:pPr>
              <w:pStyle w:val="TableContents"/>
              <w:bidi w:val="0"/>
              <w:spacing w:before="0" w:after="283"/>
              <w:jc w:val="left"/>
              <w:rPr/>
            </w:pPr>
            <w:r>
              <w:rPr/>
              <w:t> </w:t>
            </w:r>
          </w:p>
        </w:tc>
        <w:tc>
          <w:tcPr>
            <w:tcW w:w="425"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91" w:type="dxa"/>
            <w:tcBorders/>
            <w:shd w:fill="B6DEE8" w:val="clear"/>
            <w:vAlign w:val="center"/>
          </w:tcPr>
          <w:p>
            <w:pPr>
              <w:pStyle w:val="TableContents"/>
              <w:bidi w:val="0"/>
              <w:spacing w:before="0" w:after="283"/>
              <w:jc w:val="left"/>
              <w:rPr/>
            </w:pPr>
            <w:r>
              <w:rPr/>
              <w:t> </w:t>
            </w:r>
          </w:p>
        </w:tc>
      </w:tr>
      <w:tr>
        <w:trPr/>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cost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w:t>
            </w:r>
          </w:p>
        </w:tc>
        <w:tc>
          <w:tcPr>
            <w:tcW w:w="23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105" w:type="dxa"/>
        <w:jc w:val="left"/>
        <w:tblInd w:w="0" w:type="dxa"/>
        <w:tblLayout w:type="fixed"/>
        <w:tblCellMar>
          <w:top w:w="28" w:type="dxa"/>
          <w:left w:w="28" w:type="dxa"/>
          <w:bottom w:w="28" w:type="dxa"/>
          <w:right w:w="28" w:type="dxa"/>
        </w:tblCellMar>
      </w:tblPr>
      <w:tblGrid>
        <w:gridCol w:w="4711"/>
        <w:gridCol w:w="146"/>
        <w:gridCol w:w="397"/>
        <w:gridCol w:w="878"/>
        <w:gridCol w:w="382"/>
        <w:gridCol w:w="397"/>
        <w:gridCol w:w="878"/>
        <w:gridCol w:w="316"/>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2" w:type="dxa"/>
            <w:gridSpan w:val="5"/>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16" w:type="dxa"/>
            <w:tcBorders/>
            <w:shd w:fill="FFFFFF" w:val="clear"/>
            <w:vAlign w:val="center"/>
          </w:tcPr>
          <w:p>
            <w:pPr>
              <w:pStyle w:val="TableContents"/>
              <w:bidi w:val="0"/>
              <w:spacing w:before="0" w:after="283"/>
              <w:jc w:val="center"/>
              <w:rPr/>
            </w:pPr>
            <w:r>
              <w:rPr/>
              <w:t> </w:t>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B6DEE8" w:val="clear"/>
            <w:vAlign w:val="center"/>
          </w:tcPr>
          <w:p>
            <w:pPr>
              <w:pStyle w:val="TableContents"/>
              <w:bidi w:val="0"/>
              <w:spacing w:before="0" w:after="283"/>
              <w:jc w:val="left"/>
              <w:rPr/>
            </w:pPr>
            <w:r>
              <w:rPr/>
              <w:t> </w:t>
            </w:r>
          </w:p>
        </w:tc>
        <w:tc>
          <w:tcPr>
            <w:tcW w:w="1275" w:type="dxa"/>
            <w:gridSpan w:val="2"/>
            <w:tcBorders/>
            <w:shd w:fill="B6DEE8" w:val="clear"/>
            <w:vAlign w:val="center"/>
          </w:tcPr>
          <w:p>
            <w:pPr>
              <w:pStyle w:val="TableContents"/>
              <w:bidi w:val="0"/>
              <w:spacing w:before="0" w:after="283"/>
              <w:jc w:val="left"/>
              <w:rPr/>
            </w:pPr>
            <w:r>
              <w:rPr/>
              <w:t> </w:t>
            </w:r>
          </w:p>
        </w:tc>
        <w:tc>
          <w:tcPr>
            <w:tcW w:w="382" w:type="dxa"/>
            <w:tcBorders/>
            <w:shd w:fill="B6DEE8" w:val="clear"/>
            <w:vAlign w:val="center"/>
          </w:tcPr>
          <w:p>
            <w:pPr>
              <w:pStyle w:val="TableContents"/>
              <w:bidi w:val="0"/>
              <w:spacing w:before="0" w:after="283"/>
              <w:jc w:val="left"/>
              <w:rPr/>
            </w:pPr>
            <w:r>
              <w:rPr/>
              <w:t> </w:t>
            </w:r>
          </w:p>
        </w:tc>
        <w:tc>
          <w:tcPr>
            <w:tcW w:w="1275" w:type="dxa"/>
            <w:gridSpan w:val="2"/>
            <w:tcBorders/>
            <w:shd w:fill="B6DEE8" w:val="clear"/>
            <w:vAlign w:val="center"/>
          </w:tcPr>
          <w:p>
            <w:pPr>
              <w:pStyle w:val="TableContents"/>
              <w:bidi w:val="0"/>
              <w:spacing w:before="0" w:after="283"/>
              <w:jc w:val="left"/>
              <w:rPr/>
            </w:pPr>
            <w:r>
              <w:rPr/>
              <w:t> </w:t>
            </w:r>
          </w:p>
        </w:tc>
        <w:tc>
          <w:tcPr>
            <w:tcW w:w="316" w:type="dxa"/>
            <w:tcBorders/>
            <w:shd w:fill="B6DEE8"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82"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16" w:type="dxa"/>
            <w:tcBorders/>
            <w:shd w:fill="FFFFFF" w:val="clear"/>
            <w:vAlign w:val="center"/>
          </w:tcPr>
          <w:p>
            <w:pPr>
              <w:pStyle w:val="TableContents"/>
              <w:bidi w:val="0"/>
              <w:spacing w:before="0" w:after="283"/>
              <w:jc w:val="left"/>
              <w:rPr/>
            </w:pPr>
            <w:r>
              <w:rPr/>
              <w:t> </w:t>
            </w:r>
          </w:p>
        </w:tc>
      </w:tr>
      <w:tr>
        <w:trPr/>
        <w:tc>
          <w:tcPr>
            <w:tcW w:w="47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w:t>
            </w:r>
          </w:p>
        </w:tc>
        <w:tc>
          <w:tcPr>
            <w:tcW w:w="146" w:type="dxa"/>
            <w:tcBorders/>
            <w:shd w:fill="B6DEE8" w:val="clear"/>
            <w:vAlign w:val="center"/>
          </w:tcPr>
          <w:p>
            <w:pPr>
              <w:pStyle w:val="TableContents"/>
              <w:bidi w:val="0"/>
              <w:spacing w:before="0" w:after="283"/>
              <w:jc w:val="left"/>
              <w:rPr/>
            </w:pPr>
            <w:r>
              <w:rPr/>
              <w:t> </w:t>
            </w:r>
          </w:p>
        </w:tc>
        <w:tc>
          <w:tcPr>
            <w:tcW w:w="397" w:type="dxa"/>
            <w:tcBorders/>
            <w:shd w:fill="B6DEE8" w:val="clear"/>
            <w:vAlign w:val="center"/>
          </w:tcPr>
          <w:p>
            <w:pPr>
              <w:pStyle w:val="TableContents"/>
              <w:bidi w:val="0"/>
              <w:spacing w:before="0" w:after="283"/>
              <w:jc w:val="left"/>
              <w:rPr/>
            </w:pPr>
            <w:r>
              <w:rPr/>
              <w:t> </w:t>
            </w:r>
          </w:p>
        </w:tc>
        <w:tc>
          <w:tcPr>
            <w:tcW w:w="87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82" w:type="dxa"/>
            <w:tcBorders/>
            <w:shd w:fill="B6DEE8" w:val="clear"/>
            <w:vAlign w:val="center"/>
          </w:tcPr>
          <w:p>
            <w:pPr>
              <w:pStyle w:val="TableContents"/>
              <w:bidi w:val="0"/>
              <w:spacing w:before="0" w:after="283"/>
              <w:jc w:val="left"/>
              <w:rPr/>
            </w:pPr>
            <w:r>
              <w:rPr/>
              <w:t> </w:t>
            </w:r>
          </w:p>
        </w:tc>
        <w:tc>
          <w:tcPr>
            <w:tcW w:w="397" w:type="dxa"/>
            <w:tcBorders/>
            <w:shd w:fill="B6DEE8" w:val="clear"/>
            <w:vAlign w:val="center"/>
          </w:tcPr>
          <w:p>
            <w:pPr>
              <w:pStyle w:val="TableContents"/>
              <w:bidi w:val="0"/>
              <w:spacing w:before="0" w:after="283"/>
              <w:jc w:val="left"/>
              <w:rPr/>
            </w:pPr>
            <w:r>
              <w:rPr/>
              <w:t> </w:t>
            </w:r>
          </w:p>
        </w:tc>
        <w:tc>
          <w:tcPr>
            <w:tcW w:w="87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316" w:type="dxa"/>
            <w:tcBorders/>
            <w:shd w:fill="B6DEE8"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7"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future minimum lease payments as of June 30, 2024,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w:t>
            </w:r>
          </w:p>
        </w:tc>
        <w:tc>
          <w:tcPr>
            <w:tcW w:w="146" w:type="dxa"/>
            <w:tcBorders/>
            <w:shd w:fill="B6DEE8" w:val="clear"/>
            <w:vAlign w:val="center"/>
          </w:tcPr>
          <w:p>
            <w:pPr>
              <w:pStyle w:val="TableContents"/>
              <w:bidi w:val="0"/>
              <w:spacing w:before="0" w:after="283"/>
              <w:jc w:val="left"/>
              <w:rPr/>
            </w:pPr>
            <w:r>
              <w:rPr/>
              <w:t> </w:t>
            </w:r>
          </w:p>
        </w:tc>
        <w:tc>
          <w:tcPr>
            <w:tcW w:w="8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1" w:type="dxa"/>
            <w:tcBorders/>
            <w:shd w:fill="B6DEE8"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1" w:type="dxa"/>
            <w:tcBorders/>
            <w:shd w:fill="FFFFFF" w:val="clear"/>
            <w:vAlign w:val="center"/>
          </w:tcPr>
          <w:p>
            <w:pPr>
              <w:pStyle w:val="TableContents"/>
              <w:bidi w:val="0"/>
              <w:spacing w:before="0" w:after="283"/>
              <w:jc w:val="left"/>
              <w:rPr/>
            </w:pPr>
            <w:r>
              <w:rPr/>
              <w:t> </w:t>
            </w:r>
          </w:p>
        </w:tc>
      </w:tr>
      <w:tr>
        <w:trPr/>
        <w:tc>
          <w:tcPr>
            <w:tcW w:w="277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B6DEE8" w:val="clear"/>
            <w:vAlign w:val="center"/>
          </w:tcPr>
          <w:p>
            <w:pPr>
              <w:pStyle w:val="TableContents"/>
              <w:bidi w:val="0"/>
              <w:spacing w:before="0" w:after="283"/>
              <w:jc w:val="left"/>
              <w:rPr/>
            </w:pPr>
            <w:r>
              <w:rPr/>
              <w:t> </w:t>
            </w:r>
          </w:p>
        </w:tc>
        <w:tc>
          <w:tcPr>
            <w:tcW w:w="816" w:type="dxa"/>
            <w:tcBorders/>
            <w:shd w:fill="B6DEE8" w:val="clear"/>
            <w:vAlign w:val="center"/>
          </w:tcPr>
          <w:p>
            <w:pPr>
              <w:pStyle w:val="TableContents"/>
              <w:bidi w:val="0"/>
              <w:spacing w:before="0" w:after="283"/>
              <w:jc w:val="left"/>
              <w:rPr/>
            </w:pPr>
            <w:r>
              <w:rPr/>
              <w:t> </w:t>
            </w:r>
          </w:p>
        </w:tc>
        <w:tc>
          <w:tcPr>
            <w:tcW w:w="16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B6DEE8" w:val="cle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799</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13 Fair Value of Financial Instruments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following are the major categories of assets and liabilities measured at fair value on a recurring basis as of June 30, 2024 and December 31, 2023, using quoted prices in active markets for identical assets (Level 1), significant other observable inputs (Level 2), and significant unobservable inputs (Level 3)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7768" w:type="dxa"/>
        <w:jc w:val="left"/>
        <w:tblInd w:w="0" w:type="dxa"/>
        <w:tblLayout w:type="fixed"/>
        <w:tblCellMar>
          <w:top w:w="28" w:type="dxa"/>
          <w:left w:w="28" w:type="dxa"/>
          <w:bottom w:w="28" w:type="dxa"/>
          <w:right w:w="28" w:type="dxa"/>
        </w:tblCellMar>
      </w:tblPr>
      <w:tblGrid>
        <w:gridCol w:w="3211"/>
        <w:gridCol w:w="146"/>
        <w:gridCol w:w="245"/>
        <w:gridCol w:w="490"/>
        <w:gridCol w:w="146"/>
        <w:gridCol w:w="146"/>
        <w:gridCol w:w="211"/>
        <w:gridCol w:w="676"/>
        <w:gridCol w:w="146"/>
        <w:gridCol w:w="146"/>
        <w:gridCol w:w="245"/>
        <w:gridCol w:w="490"/>
        <w:gridCol w:w="146"/>
        <w:gridCol w:w="146"/>
        <w:gridCol w:w="211"/>
        <w:gridCol w:w="676"/>
        <w:gridCol w:w="2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June 30, 2024</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887"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887" w:type="dxa"/>
            <w:gridSpan w:val="2"/>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91" w:type="dxa"/>
            <w:tcBorders/>
            <w:shd w:fill="FFFFFF" w:val="clear"/>
            <w:vAlign w:val="center"/>
          </w:tcPr>
          <w:p>
            <w:pPr>
              <w:pStyle w:val="TableContents"/>
              <w:bidi w:val="0"/>
              <w:spacing w:before="0" w:after="283"/>
              <w:jc w:val="left"/>
              <w:rPr/>
            </w:pPr>
            <w:r>
              <w:rPr/>
              <w:t> </w:t>
            </w:r>
          </w:p>
        </w:tc>
      </w:tr>
      <w:tr>
        <w:trPr/>
        <w:tc>
          <w:tcPr>
            <w:tcW w:w="3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39,508</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39,603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887"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887" w:type="dxa"/>
            <w:gridSpan w:val="2"/>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public warrants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91" w:type="dxa"/>
            <w:tcBorders/>
            <w:shd w:fill="FFFFFF" w:val="cle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private warrants</w:t>
            </w:r>
          </w:p>
        </w:tc>
        <w:tc>
          <w:tcPr>
            <w:tcW w:w="146" w:type="dxa"/>
            <w:tcBorders/>
            <w:shd w:fill="B6DEE8" w:val="clear"/>
            <w:vAlign w:val="center"/>
          </w:tcPr>
          <w:p>
            <w:pPr>
              <w:pStyle w:val="TableContents"/>
              <w:bidi w:val="0"/>
              <w:spacing w:before="0" w:after="283"/>
              <w:jc w:val="left"/>
              <w:rPr/>
            </w:pPr>
            <w:r>
              <w:rPr/>
              <w:t> </w:t>
            </w:r>
          </w:p>
        </w:tc>
        <w:tc>
          <w:tcPr>
            <w:tcW w:w="245" w:type="dxa"/>
            <w:tcBorders/>
            <w:shd w:fill="B6DEE8" w:val="clear"/>
            <w:vAlign w:val="center"/>
          </w:tcPr>
          <w:p>
            <w:pPr>
              <w:pStyle w:val="TableContents"/>
              <w:bidi w:val="0"/>
              <w:spacing w:before="0" w:after="283"/>
              <w:jc w:val="left"/>
              <w:rPr/>
            </w:pPr>
            <w:r>
              <w:rPr/>
              <w:t> </w:t>
            </w:r>
          </w:p>
        </w:tc>
        <w:tc>
          <w:tcPr>
            <w:tcW w:w="490" w:type="dxa"/>
            <w:tcBorders/>
            <w:shd w:fill="B6DEE8" w:val="clear"/>
            <w:vAlign w:val="center"/>
          </w:tcPr>
          <w:p>
            <w:pPr>
              <w:pStyle w:val="TableContents"/>
              <w:bidi w:val="0"/>
              <w:spacing w:before="0" w:after="283"/>
              <w:jc w:val="right"/>
              <w:rPr>
                <w:color w:val="000000"/>
              </w:rPr>
            </w:pPr>
            <w:r>
              <w:rPr>
                <w:color w:val="00000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676" w:type="dxa"/>
            <w:tcBorders/>
            <w:shd w:fill="B6DEE8" w:val="clear"/>
            <w:vAlign w:val="center"/>
          </w:tcPr>
          <w:p>
            <w:pPr>
              <w:pStyle w:val="TableContents"/>
              <w:bidi w:val="0"/>
              <w:spacing w:before="0" w:after="283"/>
              <w:jc w:val="right"/>
              <w:rPr>
                <w:color w:val="000000"/>
              </w:rPr>
            </w:pPr>
            <w:r>
              <w:rPr>
                <w:color w:val="00000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shd w:fill="B6DEE8" w:val="clear"/>
            <w:vAlign w:val="center"/>
          </w:tcPr>
          <w:p>
            <w:pPr>
              <w:pStyle w:val="TableContents"/>
              <w:bidi w:val="0"/>
              <w:spacing w:before="0" w:after="283"/>
              <w:jc w:val="left"/>
              <w:rPr/>
            </w:pPr>
            <w:r>
              <w:rPr/>
              <w:t> </w:t>
            </w:r>
          </w:p>
        </w:tc>
        <w:tc>
          <w:tcPr>
            <w:tcW w:w="49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67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91" w:type="dxa"/>
            <w:tcBorders/>
            <w:shd w:fill="B6DEE8" w:val="clear"/>
            <w:vAlign w:val="center"/>
          </w:tcPr>
          <w:p>
            <w:pPr>
              <w:pStyle w:val="TableContents"/>
              <w:bidi w:val="0"/>
              <w:spacing w:before="0" w:after="283"/>
              <w:ind w:left="0" w:right="0" w:firstLine="100"/>
              <w:jc w:val="left"/>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Earnout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361</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7978" w:type="dxa"/>
        <w:jc w:val="left"/>
        <w:tblInd w:w="0" w:type="dxa"/>
        <w:tblLayout w:type="fixed"/>
        <w:tblCellMar>
          <w:top w:w="28" w:type="dxa"/>
          <w:left w:w="28" w:type="dxa"/>
          <w:bottom w:w="28" w:type="dxa"/>
          <w:right w:w="28" w:type="dxa"/>
        </w:tblCellMar>
      </w:tblPr>
      <w:tblGrid>
        <w:gridCol w:w="3211"/>
        <w:gridCol w:w="146"/>
        <w:gridCol w:w="245"/>
        <w:gridCol w:w="490"/>
        <w:gridCol w:w="146"/>
        <w:gridCol w:w="146"/>
        <w:gridCol w:w="211"/>
        <w:gridCol w:w="781"/>
        <w:gridCol w:w="146"/>
        <w:gridCol w:w="146"/>
        <w:gridCol w:w="245"/>
        <w:gridCol w:w="490"/>
        <w:gridCol w:w="146"/>
        <w:gridCol w:w="146"/>
        <w:gridCol w:w="211"/>
        <w:gridCol w:w="781"/>
        <w:gridCol w:w="2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2023</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291" w:type="dxa"/>
            <w:tcBorders/>
            <w:shd w:fill="FFFFFF" w:val="clear"/>
            <w:vAlign w:val="center"/>
          </w:tcPr>
          <w:p>
            <w:pPr>
              <w:pStyle w:val="TableContents"/>
              <w:bidi w:val="0"/>
              <w:spacing w:before="0" w:after="283"/>
              <w:jc w:val="left"/>
              <w:rPr/>
            </w:pPr>
            <w:r>
              <w:rPr/>
              <w:t> </w:t>
            </w:r>
          </w:p>
        </w:tc>
      </w:tr>
      <w:tr>
        <w:trPr/>
        <w:tc>
          <w:tcPr>
            <w:tcW w:w="3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113,226</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113,226</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114,178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public warrants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91" w:type="dxa"/>
            <w:tcBorders/>
            <w:shd w:fill="FFFFFF" w:val="cle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private warrants</w:t>
            </w:r>
          </w:p>
        </w:tc>
        <w:tc>
          <w:tcPr>
            <w:tcW w:w="146" w:type="dxa"/>
            <w:tcBorders/>
            <w:shd w:fill="B6DEE8" w:val="clear"/>
            <w:vAlign w:val="center"/>
          </w:tcPr>
          <w:p>
            <w:pPr>
              <w:pStyle w:val="TableContents"/>
              <w:bidi w:val="0"/>
              <w:spacing w:before="0" w:after="283"/>
              <w:jc w:val="left"/>
              <w:rPr/>
            </w:pPr>
            <w:r>
              <w:rPr/>
              <w:t> </w:t>
            </w:r>
          </w:p>
        </w:tc>
        <w:tc>
          <w:tcPr>
            <w:tcW w:w="245" w:type="dxa"/>
            <w:tcBorders/>
            <w:shd w:fill="B6DEE8" w:val="clear"/>
            <w:vAlign w:val="center"/>
          </w:tcPr>
          <w:p>
            <w:pPr>
              <w:pStyle w:val="TableContents"/>
              <w:bidi w:val="0"/>
              <w:spacing w:before="0" w:after="283"/>
              <w:jc w:val="left"/>
              <w:rPr/>
            </w:pPr>
            <w:r>
              <w:rPr/>
              <w:t> </w:t>
            </w:r>
          </w:p>
        </w:tc>
        <w:tc>
          <w:tcPr>
            <w:tcW w:w="490" w:type="dxa"/>
            <w:tcBorders/>
            <w:shd w:fill="B6DEE8" w:val="clear"/>
            <w:vAlign w:val="center"/>
          </w:tcPr>
          <w:p>
            <w:pPr>
              <w:pStyle w:val="TableContents"/>
              <w:bidi w:val="0"/>
              <w:spacing w:before="0" w:after="283"/>
              <w:jc w:val="right"/>
              <w:rPr>
                <w:color w:val="000000"/>
              </w:rPr>
            </w:pPr>
            <w:r>
              <w:rPr>
                <w:color w:val="00000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color w:val="000000"/>
              </w:rPr>
            </w:pPr>
            <w:r>
              <w:rPr>
                <w:color w:val="00000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shd w:fill="B6DEE8" w:val="clear"/>
            <w:vAlign w:val="center"/>
          </w:tcPr>
          <w:p>
            <w:pPr>
              <w:pStyle w:val="TableContents"/>
              <w:bidi w:val="0"/>
              <w:spacing w:before="0" w:after="283"/>
              <w:jc w:val="left"/>
              <w:rPr/>
            </w:pPr>
            <w:r>
              <w:rPr/>
              <w:t> </w:t>
            </w:r>
          </w:p>
        </w:tc>
        <w:tc>
          <w:tcPr>
            <w:tcW w:w="49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91" w:type="dxa"/>
            <w:tcBorders/>
            <w:shd w:fill="B6DEE8" w:val="clear"/>
            <w:vAlign w:val="center"/>
          </w:tcPr>
          <w:p>
            <w:pPr>
              <w:pStyle w:val="TableContents"/>
              <w:bidi w:val="0"/>
              <w:spacing w:before="0" w:after="283"/>
              <w:ind w:left="0" w:right="0" w:firstLine="100"/>
              <w:jc w:val="left"/>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Earnout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had no assets or liabilities measured at fair value on a non-recurring basis as of June 30, 2024 and December 31,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also has financial instruments not measured at fair value. The Company has evaluated cash (Level 1), restricted cash (Level 1), accounts payable (Level 2), accrued expenses (Level 2) and Member advances (Level 3) and believes the carrying value approximates the fair value due to the short-term nature of these balances. The fair value of the debt facility (Level 2) approximates its carrying value.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Marketable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describes the valuation techniques used by the Company to measure the fair value of investments held as of June 30, 2024 and 2023.</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U.S. Government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U.S. government securities is estimated by independent pricing services who use computerized valuation formulas to calculate current values. U.S. government securities are categorized in Level 2 of the fair value hierarchy.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Corporate Bonds and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Asset-Backed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Public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discussed further in Note 9,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gain/(loss) related to the change in fair value of the public warrant liability for the three and six months ended June 30, 2024, was $0.1 million and ($0.1) million, respectively, which is presented within changes in fair value of public warrant liability in the consolidated statements of operations.</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 roll-forward of the Level 1 public warrant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477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42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Private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further in Note 9, Warrant Liabilities, in January 2022, upon completion of the Business Combination, private warrants were automatically converted to warrants to purchase Class A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condensed consolidated statement of operations. The derivative liability was subsequently recorded at fair value at each reporting period, with changes in fair value reflected in earnings. The gain/(loss) related to the change in fair value of the private warrant liability for the three and six months ended June 30, 2024, was $0.1 million and ($0.1) million, respectively, which is presented within changes in fair value of private warrant liabilities in the consolidated statements of operations.</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 roll-forward of the Level 3 private warrant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477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42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used a Black-Scholes option pricing model to determine the fair value of the private warrant liability. The following table presents the assumptions used to value the private warrant liability for the three months ended June 30, 2024:</w:t>
      </w:r>
    </w:p>
    <w:p>
      <w:pPr>
        <w:pStyle w:val="TextBody"/>
        <w:bidi w:val="0"/>
        <w:spacing w:before="40" w:after="283"/>
        <w:jc w:val="left"/>
        <w:rPr/>
      </w:pPr>
      <w:r>
        <w:rPr/>
        <w:t> </w:t>
      </w:r>
    </w:p>
    <w:tbl>
      <w:tblPr>
        <w:tblW w:w="3823"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90"/>
        <w:gridCol w:w="641"/>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16" w:type="dxa"/>
            <w:tcBorders/>
            <w:shd w:fill="FFFFFF" w:val="clear"/>
            <w:vAlign w:val="center"/>
          </w:tcPr>
          <w:p>
            <w:pPr>
              <w:pStyle w:val="TableContents"/>
              <w:bidi w:val="0"/>
              <w:spacing w:before="0" w:after="283"/>
              <w:jc w:val="left"/>
              <w:rPr/>
            </w:pPr>
            <w:r>
              <w:rPr/>
              <w:t> </w:t>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90" w:type="dxa"/>
            <w:tcBorders/>
            <w:shd w:fill="B7DEE8" w:val="clear"/>
            <w:vAlign w:val="center"/>
          </w:tcPr>
          <w:p>
            <w:pPr>
              <w:pStyle w:val="TableContents"/>
              <w:bidi w:val="0"/>
              <w:spacing w:before="0" w:after="283"/>
              <w:jc w:val="left"/>
              <w:rPr/>
            </w:pPr>
            <w:r>
              <w:rPr/>
              <w:t> </w:t>
            </w:r>
          </w:p>
        </w:tc>
        <w:tc>
          <w:tcPr>
            <w:tcW w:w="641"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1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931" w:type="dxa"/>
            <w:gridSpan w:val="2"/>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 years</w:t>
            </w:r>
          </w:p>
        </w:tc>
        <w:tc>
          <w:tcPr>
            <w:tcW w:w="316" w:type="dxa"/>
            <w:tcBorders/>
            <w:shd w:fill="B7DEE8"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Earnout Shares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reverse recapitalization, 49,563 shares of Class A Common Stock held by founders of VPCC are subject to forfeiture if the vesting condition is not met over the five year term following the closing date of the Business Combination (“Founder Holder Earnout Shares”). These Founder Holder Earnout Shares were initially recorded as a liability at fair value and subsequently recorded at fair value at each reporting period, with changes in fair value reflected in earnings. The gain/ (loss) related to the change in fair value of the Founder Holder Earnout Shares liabilities for the three and six months ended June 30, 2024, was 0.1 million and ($0.1)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million, respectively, which are presented within changes in fair value of earnout liabilities in the consolidated statements of operations.</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 roll-forward of the Level 3 Founder Holder Earnout Shares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477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42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used a Monte Carlo Simulation Method to determine the fair value of the Founder Holder Earnout Shares liability. The following table presents the assumptions used to value the Founder Holder Earnout Shares liability for the three months ended June 30, 2024:</w:t>
      </w:r>
    </w:p>
    <w:p>
      <w:pPr>
        <w:pStyle w:val="TextBody"/>
        <w:bidi w:val="0"/>
        <w:jc w:val="left"/>
        <w:rPr/>
      </w:pPr>
      <w:r>
        <w:rPr/>
        <w:t> </w:t>
      </w:r>
    </w:p>
    <w:tbl>
      <w:tblPr>
        <w:tblW w:w="3897"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39"/>
        <w:gridCol w:w="76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005" w:type="dxa"/>
            <w:gridSpan w:val="2"/>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$400-$480</w:t>
            </w:r>
          </w:p>
        </w:tc>
        <w:tc>
          <w:tcPr>
            <w:tcW w:w="316" w:type="dxa"/>
            <w:tcBorders/>
            <w:shd w:fill="B7DEE8"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39" w:type="dxa"/>
            <w:tcBorders/>
            <w:shd w:fill="B7DEE8" w:val="clear"/>
            <w:vAlign w:val="center"/>
          </w:tcPr>
          <w:p>
            <w:pPr>
              <w:pStyle w:val="TableContents"/>
              <w:bidi w:val="0"/>
              <w:spacing w:before="0" w:after="283"/>
              <w:jc w:val="left"/>
              <w:rPr/>
            </w:pPr>
            <w:r>
              <w:rPr/>
              <w:t> </w:t>
            </w:r>
          </w:p>
        </w:tc>
        <w:tc>
          <w:tcPr>
            <w:tcW w:w="766"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 years</w:t>
            </w:r>
          </w:p>
        </w:tc>
        <w:tc>
          <w:tcPr>
            <w:tcW w:w="316" w:type="dxa"/>
            <w:tcBorders/>
            <w:shd w:fill="FFFFFF" w:val="clear"/>
            <w:vAlign w:val="center"/>
          </w:tcPr>
          <w:p>
            <w:pPr>
              <w:pStyle w:val="TableContents"/>
              <w:bidi w:val="0"/>
              <w:spacing w:before="0" w:after="283"/>
              <w:jc w:val="right"/>
              <w:rPr/>
            </w:pPr>
            <w:r>
              <w:rPr/>
              <w:t> </w:t>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239" w:type="dxa"/>
            <w:tcBorders/>
            <w:shd w:fill="B7DEE8" w:val="clear"/>
            <w:vAlign w:val="center"/>
          </w:tcPr>
          <w:p>
            <w:pPr>
              <w:pStyle w:val="TableContents"/>
              <w:bidi w:val="0"/>
              <w:spacing w:before="0" w:after="283"/>
              <w:jc w:val="left"/>
              <w:rPr/>
            </w:pPr>
            <w:r>
              <w:rPr/>
              <w:t> </w:t>
            </w:r>
          </w:p>
        </w:tc>
        <w:tc>
          <w:tcPr>
            <w:tcW w:w="766"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other assets or liabilities that were required to be measured at fair value on a recurring basis as of June 30, 2024 and December 31, 2023.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14 Stockholders’ Equity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Preferred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2024, no shares of preferred stock were outstanding, and the Company has no present plans to issue any shares of preferred stock.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Pursuant to the terms of the Company’s amended and restated certificate of incorporation, shares of preferred stock may be issued from time to time in one or more series. The Company’s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is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Class A and Class V Common Stock</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Board of Directors has authorized two classes of common stock, Class A Common Stock and Class V Common Stock. The Company had authorized 500,000,000 and 100,000,000 shares of Class A Common Stock and Class V Common Stock, respectively. Shares of Class V Common Stock have 10 votes per share, while shares of Class A Common Stock have one vote per share. The holders of shares of Class A Common Stock and Class V Common Stock will at all times vote together as a single class on all matters (including the election of directors) submitted to a vote of the Company’s stockholders. Shares of Class V Common Stock are convertible into shares of Class A Common Stock on a one-to-one basis at the option of the holders of Class V Common Stock at any time upon written notice to the Company. As of June 30, 2024, the Company had 11,149,290 and 1,514,082 shares of Class A Common Stock and Class V Common Stock issued, respectively. As of June 30, 2024, the Company had 11,099,727 and 1,514,082 shares of Class A Common Stock and Class V Common Stock outstanding,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2017, the Company’s Board of Directors adopted the Dave Inc. 2017 Stock Plan (the “2017 Plan”). The 2017 Plan authorized the award of stock options, restricted stock, and restricted stock units.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was terminated and replaced by the 2021 Plan. The maximum term of stock options granted under the 2021 Plan is 10 years and the awards generally vest over a four-year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$7.7 million and $13.8 million of stock-based compensation expense arising from stock option and restricted stock unit grants which is recorded as a component of compensation and benefits in the condensed consolidated statements of operations for the three and six months ended June 30, 2024, respectively. The Company recognized $6.6 million and $13.4 million of stock based compensation expense arising from stock option and restricted stock unit grants for the three and six months ended June 30, 2023, respectively.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Stock Options: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—The expected term represents the period of time that options are expected to be outstanding. As the Company does not have sufficient historical exercise behavior, it determines the expected life assumption using the simplified method, which is an average of the contractual term of the option and its vesting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Risk free interest rate</w:t>
      </w:r>
      <w:r>
        <w:rPr>
          <w:rFonts w:ascii="Times New Roman" w:hAnsi="Times New Roman"/>
          <w:color w:val="000000"/>
          <w:sz w:val="20"/>
        </w:rPr>
        <w:t>—The risk-free interest rate is based on the implied yield available on U.S. Treasury issues with an equivalent term approximating the expected life of the options depending on the date of the grant and expected life of the options.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—The Company bases the expected dividend yield assumption on the fact that it has never paid cash dividends and has no present intention to pay cash dividends.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—Due to the Company’s limited operating history and lack of company-specific historical or implied volatility, the expected volatility 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with respect to stock options is summarized as follows:</w:t>
      </w:r>
    </w:p>
    <w:p>
      <w:pPr>
        <w:pStyle w:val="TextBody"/>
        <w:bidi w:val="0"/>
        <w:spacing w:before="240" w:after="283"/>
        <w:jc w:val="left"/>
        <w:rPr/>
      </w:pPr>
      <w:r>
        <w:rPr/>
        <w:t> </w:t>
      </w:r>
    </w:p>
    <w:tbl>
      <w:tblPr>
        <w:tblW w:w="10097" w:type="dxa"/>
        <w:jc w:val="left"/>
        <w:tblInd w:w="0" w:type="dxa"/>
        <w:tblLayout w:type="fixed"/>
        <w:tblCellMar>
          <w:top w:w="28" w:type="dxa"/>
          <w:left w:w="28" w:type="dxa"/>
          <w:bottom w:w="28" w:type="dxa"/>
          <w:right w:w="28" w:type="dxa"/>
        </w:tblCellMar>
      </w:tblPr>
      <w:tblGrid>
        <w:gridCol w:w="3301"/>
        <w:gridCol w:w="146"/>
        <w:gridCol w:w="146"/>
        <w:gridCol w:w="841"/>
        <w:gridCol w:w="166"/>
        <w:gridCol w:w="146"/>
        <w:gridCol w:w="457"/>
        <w:gridCol w:w="1239"/>
        <w:gridCol w:w="146"/>
        <w:gridCol w:w="146"/>
        <w:gridCol w:w="349"/>
        <w:gridCol w:w="866"/>
        <w:gridCol w:w="146"/>
        <w:gridCol w:w="146"/>
        <w:gridCol w:w="368"/>
        <w:gridCol w:w="997"/>
        <w:gridCol w:w="4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 Value</w:t>
              <w:br/>
              <w:t>(in thousands)</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766,829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301" w:type="dxa"/>
            <w:tcBorders/>
            <w:shd w:fill="B7DEE8"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841"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pPr>
            <w:r>
              <w:rPr/>
              <w:t> </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15" w:type="dxa"/>
            <w:gridSpan w:val="2"/>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365" w:type="dxa"/>
            <w:gridSpan w:val="2"/>
            <w:tcBorders/>
            <w:shd w:fill="B7DEE8" w:val="clear"/>
            <w:vAlign w:val="center"/>
          </w:tcPr>
          <w:p>
            <w:pPr>
              <w:pStyle w:val="TableContents"/>
              <w:bidi w:val="0"/>
              <w:spacing w:before="0" w:after="283"/>
              <w:jc w:val="left"/>
              <w:rPr/>
            </w:pPr>
            <w:r>
              <w:rPr/>
              <w:t> </w:t>
            </w:r>
          </w:p>
        </w:tc>
        <w:tc>
          <w:tcPr>
            <w:tcW w:w="491" w:type="dxa"/>
            <w:tcBorders/>
            <w:shd w:fill="B7DEE8" w:val="clear"/>
            <w:vAlign w:val="center"/>
          </w:tcPr>
          <w:p>
            <w:pPr>
              <w:pStyle w:val="TableContents"/>
              <w:bidi w:val="0"/>
              <w:spacing w:before="0" w:after="283"/>
              <w:ind w:left="0" w:right="0" w:firstLine="300"/>
              <w:jc w:val="left"/>
              <w:rPr/>
            </w:pPr>
            <w:r>
              <w:rPr/>
              <w:t> </w:t>
            </w:r>
          </w:p>
        </w:tc>
      </w:tr>
      <w:tr>
        <w:trPr/>
        <w:tc>
          <w:tcPr>
            <w:tcW w:w="330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301" w:type="dxa"/>
            <w:tcBorders/>
            <w:shd w:fill="B7DEE8"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841"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w:t>
            </w:r>
          </w:p>
        </w:tc>
        <w:tc>
          <w:tcPr>
            <w:tcW w:w="16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15" w:type="dxa"/>
            <w:gridSpan w:val="2"/>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365" w:type="dxa"/>
            <w:gridSpan w:val="2"/>
            <w:tcBorders/>
            <w:shd w:fill="B7DEE8" w:val="clear"/>
            <w:vAlign w:val="center"/>
          </w:tcPr>
          <w:p>
            <w:pPr>
              <w:pStyle w:val="TableContents"/>
              <w:bidi w:val="0"/>
              <w:spacing w:before="0" w:after="283"/>
              <w:jc w:val="left"/>
              <w:rPr/>
            </w:pPr>
            <w:r>
              <w:rPr/>
              <w:t> </w:t>
            </w:r>
          </w:p>
        </w:tc>
        <w:tc>
          <w:tcPr>
            <w:tcW w:w="491" w:type="dxa"/>
            <w:tcBorders/>
            <w:shd w:fill="B7DEE8" w:val="clear"/>
            <w:vAlign w:val="center"/>
          </w:tcPr>
          <w:p>
            <w:pPr>
              <w:pStyle w:val="TableContents"/>
              <w:bidi w:val="0"/>
              <w:spacing w:before="0" w:after="283"/>
              <w:ind w:left="0" w:right="0" w:firstLine="300"/>
              <w:jc w:val="left"/>
              <w:rPr/>
            </w:pPr>
            <w:r>
              <w:rPr/>
              <w:t> </w:t>
            </w:r>
          </w:p>
        </w:tc>
      </w:tr>
      <w:tr>
        <w:trPr/>
        <w:tc>
          <w:tcPr>
            <w:tcW w:w="330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r>
      <w:tr>
        <w:trPr/>
        <w:tc>
          <w:tcPr>
            <w:tcW w:w="3301"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June 30, 2024</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841" w:type="dxa"/>
            <w:tcBorders/>
            <w:shd w:fill="B7DE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633,565</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349" w:type="dxa"/>
            <w:tcBorders/>
            <w:shd w:fill="B7DEE8" w:val="clear"/>
            <w:vAlign w:val="center"/>
          </w:tcPr>
          <w:p>
            <w:pPr>
              <w:pStyle w:val="TableContents"/>
              <w:bidi w:val="0"/>
              <w:spacing w:before="0" w:after="283"/>
              <w:jc w:val="left"/>
              <w:rPr/>
            </w:pPr>
            <w:r>
              <w:rPr/>
              <w:t> </w:t>
            </w:r>
          </w:p>
        </w:tc>
        <w:tc>
          <w:tcPr>
            <w:tcW w:w="866"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368"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9,273</w:t>
            </w:r>
          </w:p>
        </w:tc>
        <w:tc>
          <w:tcPr>
            <w:tcW w:w="491" w:type="dxa"/>
            <w:tcBorders/>
            <w:shd w:fill="B7DEE8"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options,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9"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w:t>
            </w:r>
          </w:p>
        </w:tc>
        <w:tc>
          <w:tcPr>
            <w:tcW w:w="491" w:type="dxa"/>
            <w:tcBorders/>
            <w:shd w:fill="FFFFFF" w:val="clear"/>
            <w:vAlign w:val="center"/>
          </w:tcPr>
          <w:p>
            <w:pPr>
              <w:pStyle w:val="TableContents"/>
              <w:bidi w:val="0"/>
              <w:spacing w:before="0" w:after="283"/>
              <w:jc w:val="left"/>
              <w:rPr/>
            </w:pPr>
            <w:r>
              <w:rPr/>
              <w:t> </w:t>
            </w:r>
          </w:p>
        </w:tc>
      </w:tr>
      <w:tr>
        <w:trPr/>
        <w:tc>
          <w:tcPr>
            <w:tcW w:w="3301"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exercisable, June 30, 2024</w:t>
            </w:r>
          </w:p>
        </w:tc>
        <w:tc>
          <w:tcPr>
            <w:tcW w:w="146" w:type="dxa"/>
            <w:tcBorders/>
            <w:shd w:fill="B7DEE8" w:val="cle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255,406</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349" w:type="dxa"/>
            <w:tcBorders/>
            <w:shd w:fill="B7DEE8" w:val="clear"/>
            <w:vAlign w:val="center"/>
          </w:tcPr>
          <w:p>
            <w:pPr>
              <w:pStyle w:val="TableContents"/>
              <w:bidi w:val="0"/>
              <w:spacing w:before="0" w:after="283"/>
              <w:jc w:val="left"/>
              <w:rPr/>
            </w:pPr>
            <w:r>
              <w:rPr/>
              <w:t> </w:t>
            </w:r>
          </w:p>
        </w:tc>
        <w:tc>
          <w:tcPr>
            <w:tcW w:w="866"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368"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w:t>
            </w:r>
          </w:p>
        </w:tc>
        <w:tc>
          <w:tcPr>
            <w:tcW w:w="491" w:type="dxa"/>
            <w:tcBorders/>
            <w:shd w:fill="B7DEE8"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June 30, 2024, total estimated unrecognized stock-based compensation cost related to unvested stock options prior to that date was $4.0 million, which is expected to be recognized over a weighted-average remaining period of 3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3, 2021, the Company granted the Chief Executive Officer stock options to purchase up to 358,001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the performance condition was met and the Company recorded a cumulative stock-based compensation expense of $1.9 million. The options have a strike price of $23.18 per share. The Company determined the fair value of the options on the grant date to be $10.5 million using a Monte Carlo simulation with key inputs and assumptions such as stock price, term, dividend yield, risk-free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rate, and volatility. The derived service periods determined by the valuation for each of the nine tranches range from approximately three years to approximately seven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options granted to the Chief Executive Officer on the grant date:</w:t>
      </w:r>
    </w:p>
    <w:p>
      <w:pPr>
        <w:pStyle w:val="TextBody"/>
        <w:bidi w:val="0"/>
        <w:spacing w:before="240" w:after="283"/>
        <w:jc w:val="left"/>
        <w:rPr/>
      </w:pPr>
      <w:r>
        <w:rPr/>
        <w:t> </w:t>
      </w:r>
    </w:p>
    <w:tbl>
      <w:tblPr>
        <w:tblW w:w="3524" w:type="dxa"/>
        <w:jc w:val="left"/>
        <w:tblInd w:w="0" w:type="dxa"/>
        <w:tblLayout w:type="fixed"/>
        <w:tblCellMar>
          <w:top w:w="28" w:type="dxa"/>
          <w:left w:w="28" w:type="dxa"/>
          <w:bottom w:w="28" w:type="dxa"/>
          <w:right w:w="28" w:type="dxa"/>
        </w:tblCellMar>
      </w:tblPr>
      <w:tblGrid>
        <w:gridCol w:w="2131"/>
        <w:gridCol w:w="146"/>
        <w:gridCol w:w="222"/>
        <w:gridCol w:w="709"/>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vAlign w:val="center"/>
          </w:tcPr>
          <w:p>
            <w:pPr>
              <w:pStyle w:val="TableContents"/>
              <w:bidi w:val="0"/>
              <w:spacing w:before="0" w:after="283"/>
              <w:jc w:val="left"/>
              <w:rPr/>
            </w:pPr>
            <w:r>
              <w:rPr/>
              <w:t> </w:t>
            </w:r>
          </w:p>
        </w:tc>
        <w:tc>
          <w:tcPr>
            <w:tcW w:w="931" w:type="dxa"/>
            <w:gridSpan w:val="2"/>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years</w:t>
            </w:r>
          </w:p>
        </w:tc>
        <w:tc>
          <w:tcPr>
            <w:tcW w:w="316" w:type="dxa"/>
            <w:tcBorders/>
            <w:shd w:fill="B7DEE8" w:val="clear"/>
            <w:vAlign w:val="center"/>
          </w:tcPr>
          <w:p>
            <w:pPr>
              <w:pStyle w:val="TableContents"/>
              <w:bidi w:val="0"/>
              <w:spacing w:before="0" w:after="283"/>
              <w:jc w:val="righ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70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 Option Repricing:</w:t>
        <w:br/>
        <w:t> </w:t>
      </w:r>
    </w:p>
    <w:p>
      <w:pPr>
        <w:pStyle w:val="TextBody"/>
        <w:bidi w:val="0"/>
        <w:jc w:val="left"/>
        <w:rPr>
          <w:rFonts w:ascii="Times New Roman" w:hAnsi="Times New Roman"/>
          <w:color w:val="000000"/>
          <w:sz w:val="20"/>
        </w:rPr>
      </w:pPr>
      <w:r>
        <w:rPr>
          <w:rFonts w:ascii="Times New Roman" w:hAnsi="Times New Roman"/>
          <w:color w:val="000000"/>
          <w:sz w:val="20"/>
        </w:rPr>
        <w:t>In April 2023, the Company’s Board of Directors approved a repricing of certain previously granted and still outstanding vested and unvested stock option awards held by eligible employees, which was approved by stockholders on June 9, 2023. As a result, the exercise price for these awards was lowered to $5.18 per share, which was the average per share closing price of the Company’s Class A Common Stock as reported on the Nasdaq Global Stock Market for the 30 trading days ending on and including June 9, 2023. No other terms of the repriced stock options were modified, and the repriced stock options will continue to vest according to their original vesting schedules and will retain their original expiration dates. As a result of the repricing, 134,931 vested and unvested stock options outstanding as of June 9, 2023, with original exercise prices ranging from $22.09 to $23.18, were repriced.</w:t>
      </w:r>
    </w:p>
    <w:p>
      <w:pPr>
        <w:pStyle w:val="TextBody"/>
        <w:bidi w:val="0"/>
        <w:jc w:val="left"/>
        <w:rPr>
          <w:rFonts w:ascii="Times New Roman" w:hAnsi="Times New Roman"/>
          <w:color w:val="000000"/>
          <w:sz w:val="20"/>
        </w:rPr>
      </w:pPr>
      <w:r>
        <w:rPr>
          <w:rFonts w:ascii="Times New Roman" w:hAnsi="Times New Roman"/>
          <w:color w:val="000000"/>
          <w:sz w:val="20"/>
        </w:rPr>
        <w:br/>
        <w:t>The repricing on June 9, 2023 resulted in incremental stock-based compensation expense of $0.2 million, of which $0.1 million related to vested stock option awards was expensed on the repricing date. The remaining $0.1 million related to unvested stock option awards is being amortized on a straight-line basis over the weighted-average vesting period of those awards of approximately 1.3 years as of June 9,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2023, the Company’s Board of Directors approved a repricing of certain previously granted and still outstanding vested and unvested stock option awards held by eight remaining eligible employees excluded from the aforementioned June 9 repricing. As a result, the exercise price for these awards was lowered to $7.23 per share, which was the average per share closing price of the Company’s Class A Common Stock as reported on the Nasdaq Global Stock Market for the 30 trading days ending on and including September 13, 2023. No other terms of the repriced stock options were modified, and the repriced stock options will continue to vest according to their original vesting schedules and will retain their original expiration dates. As a result of the repricing, 200,571 vested and unvested stock options outstanding as of September 13, 2023, with original exercise prices ranging from $22.09 to $23.18, were repriced.</w:t>
      </w:r>
    </w:p>
    <w:p>
      <w:pPr>
        <w:pStyle w:val="TextBody"/>
        <w:bidi w:val="0"/>
        <w:jc w:val="left"/>
        <w:rPr>
          <w:rFonts w:ascii="Times New Roman" w:hAnsi="Times New Roman"/>
          <w:color w:val="000000"/>
          <w:sz w:val="20"/>
        </w:rPr>
      </w:pPr>
      <w:r>
        <w:rPr>
          <w:rFonts w:ascii="Times New Roman" w:hAnsi="Times New Roman"/>
          <w:color w:val="000000"/>
          <w:sz w:val="20"/>
        </w:rPr>
        <w:br/>
        <w:t>The repricing on September 13, 2023 resulted in incremental stock-based compensation expense of $0.2 million, of which $0.17 million related to vested stock option awards was expensed on the repricing date. The remaining $0.07 million related to unvested stock option awards is being amortized on a straight-line basis over the weighted-average vesting period of those awards of approximately 1.0 years as of September 13,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with respect to RSUs is summarized as follows:</w:t>
      </w:r>
    </w:p>
    <w:p>
      <w:pPr>
        <w:pStyle w:val="TextBody"/>
        <w:bidi w:val="0"/>
        <w:spacing w:before="120" w:after="283"/>
        <w:jc w:val="left"/>
        <w:rPr/>
      </w:pPr>
      <w:r>
        <w:rPr/>
        <w:t> </w:t>
      </w:r>
    </w:p>
    <w:tbl>
      <w:tblPr>
        <w:tblW w:w="7158" w:type="dxa"/>
        <w:jc w:val="left"/>
        <w:tblInd w:w="0" w:type="dxa"/>
        <w:tblLayout w:type="fixed"/>
        <w:tblCellMar>
          <w:top w:w="28" w:type="dxa"/>
          <w:left w:w="28" w:type="dxa"/>
          <w:bottom w:w="28" w:type="dxa"/>
          <w:right w:w="28" w:type="dxa"/>
        </w:tblCellMar>
      </w:tblPr>
      <w:tblGrid>
        <w:gridCol w:w="3436"/>
        <w:gridCol w:w="146"/>
        <w:gridCol w:w="146"/>
        <w:gridCol w:w="931"/>
        <w:gridCol w:w="166"/>
        <w:gridCol w:w="146"/>
        <w:gridCol w:w="457"/>
        <w:gridCol w:w="1239"/>
        <w:gridCol w:w="4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Grant-Date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B7DEE8"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January 1, 2024</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931" w:type="dxa"/>
            <w:tcBorders/>
            <w:shd w:fill="B7DE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1,726,639</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491" w:type="dxa"/>
            <w:tcBorders/>
            <w:shd w:fill="B7DEE8" w:val="clear"/>
            <w:vAlign w:val="center"/>
          </w:tcPr>
          <w:p>
            <w:pPr>
              <w:pStyle w:val="TableContents"/>
              <w:bidi w:val="0"/>
              <w:spacing w:before="0" w:after="283"/>
              <w:ind w:left="0" w:right="0" w:firstLine="300"/>
              <w:jc w:val="left"/>
              <w:rPr/>
            </w:pPr>
            <w:r>
              <w:rPr/>
              <w:t> </w:t>
            </w:r>
          </w:p>
        </w:tc>
      </w:tr>
      <w:tr>
        <w:trPr/>
        <w:tc>
          <w:tcPr>
            <w:tcW w:w="343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436" w:type="dxa"/>
            <w:tcBorders/>
            <w:shd w:fill="B7DEE8"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Vested</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931"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(341,266</w:t>
            </w:r>
          </w:p>
        </w:tc>
        <w:tc>
          <w:tcPr>
            <w:tcW w:w="16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491" w:type="dxa"/>
            <w:tcBorders/>
            <w:shd w:fill="B7DEE8" w:val="clear"/>
            <w:vAlign w:val="center"/>
          </w:tcPr>
          <w:p>
            <w:pPr>
              <w:pStyle w:val="TableContents"/>
              <w:bidi w:val="0"/>
              <w:spacing w:before="0" w:after="283"/>
              <w:ind w:left="0" w:right="0" w:firstLine="300"/>
              <w:jc w:val="left"/>
              <w:rPr/>
            </w:pPr>
            <w:r>
              <w:rPr/>
              <w:t> </w:t>
            </w:r>
          </w:p>
        </w:tc>
      </w:tr>
      <w:tr>
        <w:trPr/>
        <w:tc>
          <w:tcPr>
            <w:tcW w:w="343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491" w:type="dxa"/>
            <w:tcBorders/>
            <w:shd w:fill="FFFFFF" w:val="clear"/>
            <w:vAlign w:val="center"/>
          </w:tcPr>
          <w:p>
            <w:pPr>
              <w:pStyle w:val="TableContents"/>
              <w:bidi w:val="0"/>
              <w:spacing w:before="0" w:after="283"/>
              <w:jc w:val="left"/>
              <w:rPr/>
            </w:pPr>
            <w:r>
              <w:rPr/>
              <w:t> </w:t>
            </w:r>
          </w:p>
        </w:tc>
      </w:tr>
      <w:tr>
        <w:trPr/>
        <w:tc>
          <w:tcPr>
            <w:tcW w:w="3436" w:type="dxa"/>
            <w:tcBorders/>
            <w:shd w:fill="B7DEE8"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June 30, 2024</w:t>
            </w:r>
          </w:p>
        </w:tc>
        <w:tc>
          <w:tcPr>
            <w:tcW w:w="146" w:type="dxa"/>
            <w:tcBorders/>
            <w:shd w:fill="B7DEE8" w:val="cle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1,411,819</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491" w:type="dxa"/>
            <w:tcBorders/>
            <w:shd w:fill="B7DEE8"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June 30, 2024, total estimated unrecognized stock-based compensation cost related to nonvested RSUs was approximately $37.6 million, which is expected to be recognized over a weighted-average period of 2.3 years.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quarter ended March 31, 2023, the Company granted 629,454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$3.0 million using a Monte Carlo simulation with key inputs and assumptions such as stock price, term, risk-free interest rate, and volatility. The derived service periods determined by the valuation for each of the six tranches range from approximately two years to approximately three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RSUs that contain service and market conditions on the grant date:</w:t>
      </w:r>
    </w:p>
    <w:p>
      <w:pPr>
        <w:pStyle w:val="TextBody"/>
        <w:bidi w:val="0"/>
        <w:jc w:val="left"/>
        <w:rPr/>
      </w:pPr>
      <w:r>
        <w:rPr/>
        <w:t> </w:t>
      </w:r>
    </w:p>
    <w:tbl>
      <w:tblPr>
        <w:tblW w:w="3134" w:type="dxa"/>
        <w:jc w:val="left"/>
        <w:tblInd w:w="0" w:type="dxa"/>
        <w:tblLayout w:type="fixed"/>
        <w:tblCellMar>
          <w:top w:w="28" w:type="dxa"/>
          <w:left w:w="28" w:type="dxa"/>
          <w:bottom w:w="28" w:type="dxa"/>
          <w:right w:w="28" w:type="dxa"/>
        </w:tblCellMar>
      </w:tblPr>
      <w:tblGrid>
        <w:gridCol w:w="1846"/>
        <w:gridCol w:w="146"/>
        <w:gridCol w:w="197"/>
        <w:gridCol w:w="629"/>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vAlign w:val="center"/>
          </w:tcPr>
          <w:p>
            <w:pPr>
              <w:pStyle w:val="TableContents"/>
              <w:bidi w:val="0"/>
              <w:spacing w:before="0" w:after="283"/>
              <w:jc w:val="left"/>
              <w:rPr/>
            </w:pPr>
            <w:r>
              <w:rPr/>
              <w:t> </w:t>
            </w:r>
          </w:p>
        </w:tc>
        <w:tc>
          <w:tcPr>
            <w:tcW w:w="826" w:type="dxa"/>
            <w:gridSpan w:val="2"/>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 years</w:t>
            </w:r>
          </w:p>
        </w:tc>
        <w:tc>
          <w:tcPr>
            <w:tcW w:w="316" w:type="dxa"/>
            <w:tcBorders/>
            <w:shd w:fill="B7DEE8"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vAlign w:val="center"/>
          </w:tcPr>
          <w:p>
            <w:pPr>
              <w:pStyle w:val="TableContents"/>
              <w:bidi w:val="0"/>
              <w:spacing w:before="0" w:after="283"/>
              <w:jc w:val="left"/>
              <w:rPr/>
            </w:pPr>
            <w:r>
              <w:rPr/>
              <w:t> </w:t>
            </w:r>
          </w:p>
        </w:tc>
        <w:tc>
          <w:tcPr>
            <w:tcW w:w="197" w:type="dxa"/>
            <w:tcBorders/>
            <w:shd w:fill="B7DEE8" w:val="clear"/>
            <w:vAlign w:val="center"/>
          </w:tcPr>
          <w:p>
            <w:pPr>
              <w:pStyle w:val="TableContents"/>
              <w:bidi w:val="0"/>
              <w:spacing w:before="0" w:after="283"/>
              <w:jc w:val="left"/>
              <w:rPr/>
            </w:pPr>
            <w:r>
              <w:rPr/>
              <w:t> </w:t>
            </w:r>
          </w:p>
        </w:tc>
        <w:tc>
          <w:tcPr>
            <w:tcW w:w="62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31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October 2023, the Company granted 71,844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$0.2 million using a Monte Carlo simulation with key inputs and assumptions such as stock price, term, risk-free interest rate, and volatility. The derived service periods determined by the valuation ranges from approximately two years to approximately three years. Each grant will be expensed monthly over the derived service period unless vesting conditions for a particular grant are met, at which point all remaining compensation charges related to that particular grant will be expensed in the period in which the vesting conditions were met.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RSUs granted during October 2023 that contain service and market conditions on the grant date:</w:t>
      </w:r>
    </w:p>
    <w:tbl>
      <w:tblPr>
        <w:tblW w:w="3134" w:type="dxa"/>
        <w:jc w:val="left"/>
        <w:tblInd w:w="0" w:type="dxa"/>
        <w:tblLayout w:type="fixed"/>
        <w:tblCellMar>
          <w:top w:w="28" w:type="dxa"/>
          <w:left w:w="28" w:type="dxa"/>
          <w:bottom w:w="28" w:type="dxa"/>
          <w:right w:w="28" w:type="dxa"/>
        </w:tblCellMar>
      </w:tblPr>
      <w:tblGrid>
        <w:gridCol w:w="1846"/>
        <w:gridCol w:w="146"/>
        <w:gridCol w:w="197"/>
        <w:gridCol w:w="629"/>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vAlign w:val="center"/>
          </w:tcPr>
          <w:p>
            <w:pPr>
              <w:pStyle w:val="TableContents"/>
              <w:bidi w:val="0"/>
              <w:spacing w:before="0" w:after="283"/>
              <w:jc w:val="left"/>
              <w:rPr/>
            </w:pPr>
            <w:r>
              <w:rPr/>
              <w:t> </w:t>
            </w:r>
          </w:p>
        </w:tc>
        <w:tc>
          <w:tcPr>
            <w:tcW w:w="826" w:type="dxa"/>
            <w:gridSpan w:val="2"/>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 years</w:t>
            </w:r>
          </w:p>
        </w:tc>
        <w:tc>
          <w:tcPr>
            <w:tcW w:w="316" w:type="dxa"/>
            <w:tcBorders/>
            <w:shd w:fill="B7DEE8"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vAlign w:val="center"/>
          </w:tcPr>
          <w:p>
            <w:pPr>
              <w:pStyle w:val="TableContents"/>
              <w:bidi w:val="0"/>
              <w:spacing w:before="0" w:after="283"/>
              <w:jc w:val="left"/>
              <w:rPr/>
            </w:pPr>
            <w:r>
              <w:rPr/>
              <w:t> </w:t>
            </w:r>
          </w:p>
        </w:tc>
        <w:tc>
          <w:tcPr>
            <w:tcW w:w="197" w:type="dxa"/>
            <w:tcBorders/>
            <w:shd w:fill="B7DEE8" w:val="clear"/>
            <w:vAlign w:val="center"/>
          </w:tcPr>
          <w:p>
            <w:pPr>
              <w:pStyle w:val="TableContents"/>
              <w:bidi w:val="0"/>
              <w:spacing w:before="0" w:after="283"/>
              <w:jc w:val="left"/>
              <w:rPr/>
            </w:pPr>
            <w:r>
              <w:rPr/>
              <w:t> </w:t>
            </w:r>
          </w:p>
        </w:tc>
        <w:tc>
          <w:tcPr>
            <w:tcW w:w="62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31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quarter ended June 30, 2024, the Company's Board of Directors approved a modification to the price targets in the market conditions and the addition of performance conditions for 333,275 unvested RSUs. The modification of the unvested RSUs resulted in incremental stock-based compensation expense of $1.0 million, which will be expensed monthly over the derived service period. The weighted average modification-date fair value of the RSUs were $5.36 per award. The Company determined the fair value of the RSUs on the modification date using a Monte Carlo simulation with key inputs and assumptions such as stock price, term, risk-free interest rate, and volatility. The derived service periods determined by the valuation range from approximately one year to approximately two years. The RSUs will be expensed monthly over the derived service period unless vesting conditions for a particular tranche are met, at which point all remaining compensation charges will be expensed in the period in which the vesting conditions were met. As a result of the modification, the RSUs are now classified as performance-based RSUs and included in the activity table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RSUs modified during the quarter ended June 30, 2024:</w:t>
      </w:r>
    </w:p>
    <w:p>
      <w:pPr>
        <w:pStyle w:val="TextBody"/>
        <w:bidi w:val="0"/>
        <w:jc w:val="left"/>
        <w:rPr/>
      </w:pPr>
      <w:r>
        <w:rPr/>
        <w:t> </w:t>
      </w:r>
    </w:p>
    <w:tbl>
      <w:tblPr>
        <w:tblW w:w="3133" w:type="dxa"/>
        <w:jc w:val="left"/>
        <w:tblInd w:w="0" w:type="dxa"/>
        <w:tblLayout w:type="fixed"/>
        <w:tblCellMar>
          <w:top w:w="28" w:type="dxa"/>
          <w:left w:w="28" w:type="dxa"/>
          <w:bottom w:w="28" w:type="dxa"/>
          <w:right w:w="28" w:type="dxa"/>
        </w:tblCellMar>
      </w:tblPr>
      <w:tblGrid>
        <w:gridCol w:w="1846"/>
        <w:gridCol w:w="146"/>
        <w:gridCol w:w="197"/>
        <w:gridCol w:w="628"/>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vAlign w:val="center"/>
          </w:tcPr>
          <w:p>
            <w:pPr>
              <w:pStyle w:val="TableContents"/>
              <w:bidi w:val="0"/>
              <w:spacing w:before="0" w:after="283"/>
              <w:jc w:val="left"/>
              <w:rPr/>
            </w:pPr>
            <w:r>
              <w:rPr/>
              <w:t> </w:t>
            </w:r>
          </w:p>
        </w:tc>
        <w:tc>
          <w:tcPr>
            <w:tcW w:w="825" w:type="dxa"/>
            <w:gridSpan w:val="2"/>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 years</w:t>
            </w:r>
          </w:p>
        </w:tc>
        <w:tc>
          <w:tcPr>
            <w:tcW w:w="316" w:type="dxa"/>
            <w:tcBorders/>
            <w:shd w:fill="B7DEE8"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vAlign w:val="center"/>
          </w:tcPr>
          <w:p>
            <w:pPr>
              <w:pStyle w:val="TableContents"/>
              <w:bidi w:val="0"/>
              <w:spacing w:before="0" w:after="283"/>
              <w:jc w:val="left"/>
              <w:rPr/>
            </w:pPr>
            <w:r>
              <w:rPr/>
              <w:t> </w:t>
            </w:r>
          </w:p>
        </w:tc>
        <w:tc>
          <w:tcPr>
            <w:tcW w:w="197" w:type="dxa"/>
            <w:tcBorders/>
            <w:shd w:fill="B7DEE8" w:val="clear"/>
            <w:vAlign w:val="center"/>
          </w:tcPr>
          <w:p>
            <w:pPr>
              <w:pStyle w:val="TableContents"/>
              <w:bidi w:val="0"/>
              <w:spacing w:before="0" w:after="283"/>
              <w:jc w:val="left"/>
              <w:rPr/>
            </w:pPr>
            <w:r>
              <w:rPr/>
              <w:t> </w:t>
            </w:r>
          </w:p>
        </w:tc>
        <w:tc>
          <w:tcPr>
            <w:tcW w:w="628"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31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Performance-Based Restricted Stock Units: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grants performance-based RSUs to certain employees that are subject to the attainment of pre-established internal performance conditions. The actual number of shares subject to the award is determined at the end of the performance period and may range from 0% to 150% of the target shares granted depending upon the terms of the award.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with respect to Performance-Based RSUs is summarized as follows:</w:t>
      </w:r>
    </w:p>
    <w:p>
      <w:pPr>
        <w:pStyle w:val="TextBody"/>
        <w:bidi w:val="0"/>
        <w:spacing w:before="120" w:after="283"/>
        <w:jc w:val="left"/>
        <w:rPr/>
      </w:pPr>
      <w:r>
        <w:rPr/>
        <w:t> </w:t>
      </w:r>
    </w:p>
    <w:tbl>
      <w:tblPr>
        <w:tblW w:w="7008" w:type="dxa"/>
        <w:jc w:val="left"/>
        <w:tblInd w:w="0" w:type="dxa"/>
        <w:tblLayout w:type="fixed"/>
        <w:tblCellMar>
          <w:top w:w="28" w:type="dxa"/>
          <w:left w:w="28" w:type="dxa"/>
          <w:bottom w:w="28" w:type="dxa"/>
          <w:right w:w="28" w:type="dxa"/>
        </w:tblCellMar>
      </w:tblPr>
      <w:tblGrid>
        <w:gridCol w:w="3436"/>
        <w:gridCol w:w="146"/>
        <w:gridCol w:w="146"/>
        <w:gridCol w:w="781"/>
        <w:gridCol w:w="166"/>
        <w:gridCol w:w="146"/>
        <w:gridCol w:w="457"/>
        <w:gridCol w:w="1239"/>
        <w:gridCol w:w="4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Grant-Date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B7DEE8"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January 1, 2024</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781"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shd w:fill="B7DEE8" w:val="clear"/>
            <w:vAlign w:val="center"/>
          </w:tcPr>
          <w:p>
            <w:pPr>
              <w:pStyle w:val="TableContents"/>
              <w:bidi w:val="0"/>
              <w:spacing w:before="0" w:after="283"/>
              <w:ind w:left="0" w:right="0" w:firstLine="300"/>
              <w:jc w:val="left"/>
              <w:rPr/>
            </w:pPr>
            <w:r>
              <w:rPr/>
              <w:t> </w:t>
            </w:r>
          </w:p>
        </w:tc>
      </w:tr>
      <w:tr>
        <w:trPr/>
        <w:tc>
          <w:tcPr>
            <w:tcW w:w="343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436" w:type="dxa"/>
            <w:tcBorders/>
            <w:shd w:fill="B7DEE8"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Vested</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781"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shd w:fill="B7DEE8" w:val="clear"/>
            <w:vAlign w:val="center"/>
          </w:tcPr>
          <w:p>
            <w:pPr>
              <w:pStyle w:val="TableContents"/>
              <w:bidi w:val="0"/>
              <w:spacing w:before="0" w:after="283"/>
              <w:ind w:left="0" w:right="0" w:firstLine="300"/>
              <w:jc w:val="left"/>
              <w:rPr/>
            </w:pPr>
            <w:r>
              <w:rPr/>
              <w:t> </w:t>
            </w:r>
          </w:p>
        </w:tc>
      </w:tr>
      <w:tr>
        <w:trPr/>
        <w:tc>
          <w:tcPr>
            <w:tcW w:w="343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491" w:type="dxa"/>
            <w:tcBorders/>
            <w:shd w:fill="FFFFFF" w:val="clear"/>
            <w:vAlign w:val="center"/>
          </w:tcPr>
          <w:p>
            <w:pPr>
              <w:pStyle w:val="TableContents"/>
              <w:bidi w:val="0"/>
              <w:spacing w:before="0" w:after="283"/>
              <w:jc w:val="left"/>
              <w:rPr/>
            </w:pPr>
            <w:r>
              <w:rPr/>
              <w:t> </w:t>
            </w:r>
          </w:p>
        </w:tc>
      </w:tr>
      <w:tr>
        <w:trPr/>
        <w:tc>
          <w:tcPr>
            <w:tcW w:w="3436" w:type="dxa"/>
            <w:tcBorders/>
            <w:shd w:fill="B7DEE8"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June 30, 2024</w:t>
            </w:r>
          </w:p>
        </w:tc>
        <w:tc>
          <w:tcPr>
            <w:tcW w:w="146" w:type="dxa"/>
            <w:tcBorders/>
            <w:shd w:fill="B7DEE8" w:val="cle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462,653</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491" w:type="dxa"/>
            <w:tcBorders/>
            <w:shd w:fill="B7DEE8"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June 30, 2024, total estimated unrecognized stock-based compensation cost related to nonvested performance-based RSUs was approximately $6.0 million, which is expected to be recognized over a weighted-average period of 2.2 years.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16 Related-Party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each of the three and six months ended June 30, 2024, the Company paid $0.1 million and $0.2 million, respectively, under lease agreements with PCJW, which is controlled by the Company's founders (including the Company's current CEO), for general office space in Los Angeles, California. During the three and six months ended June 30, 2023, the Company paid $0.1 million and $0.2 million, respectively under the lease agreements with PCJW.</w:t>
      </w:r>
    </w:p>
    <w:p>
      <w:pPr>
        <w:pStyle w:val="TextBody"/>
        <w:bidi w:val="0"/>
        <w:spacing w:before="240" w:after="283"/>
        <w:jc w:val="left"/>
        <w:rPr>
          <w:rFonts w:ascii="Times New Roman" w:hAnsi="Times New Roman"/>
          <w:sz w:val="20"/>
        </w:rPr>
      </w:pPr>
      <w:r>
        <w:rPr>
          <w:rFonts w:ascii="Times New Roman" w:hAnsi="Times New Roman"/>
          <w:color w:val="000000"/>
          <w:sz w:val="20"/>
        </w:rPr>
        <w:t>The following is a schedule of future minimum rental payments as of June 30, 2024 under Company’s sub-lease for the properties located in Los Angeles, California signed with PCJW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40" w:after="283"/>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w:t>
            </w:r>
          </w:p>
        </w:tc>
        <w:tc>
          <w:tcPr>
            <w:tcW w:w="146" w:type="dxa"/>
            <w:tcBorders/>
            <w:shd w:fill="B6DEE8" w:val="clear"/>
            <w:vAlign w:val="center"/>
          </w:tcPr>
          <w:p>
            <w:pPr>
              <w:pStyle w:val="TableContents"/>
              <w:bidi w:val="0"/>
              <w:spacing w:before="0" w:after="283"/>
              <w:jc w:val="left"/>
              <w:rPr/>
            </w:pPr>
            <w:r>
              <w:rPr/>
              <w:t> </w:t>
            </w:r>
          </w:p>
        </w:tc>
        <w:tc>
          <w:tcPr>
            <w:tcW w:w="8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1" w:type="dxa"/>
            <w:tcBorders/>
            <w:shd w:fill="B6DEE8"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1" w:type="dxa"/>
            <w:tcBorders/>
            <w:shd w:fill="FFFFFF" w:val="clear"/>
            <w:vAlign w:val="center"/>
          </w:tcPr>
          <w:p>
            <w:pPr>
              <w:pStyle w:val="TableContents"/>
              <w:bidi w:val="0"/>
              <w:spacing w:before="0" w:after="283"/>
              <w:jc w:val="left"/>
              <w:rPr/>
            </w:pPr>
            <w:r>
              <w:rPr/>
              <w:t> </w:t>
            </w:r>
          </w:p>
        </w:tc>
      </w:tr>
      <w:tr>
        <w:trPr/>
        <w:tc>
          <w:tcPr>
            <w:tcW w:w="277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B6DEE8" w:val="clear"/>
            <w:vAlign w:val="center"/>
          </w:tcPr>
          <w:p>
            <w:pPr>
              <w:pStyle w:val="TableContents"/>
              <w:bidi w:val="0"/>
              <w:spacing w:before="0" w:after="283"/>
              <w:jc w:val="left"/>
              <w:rPr/>
            </w:pPr>
            <w:r>
              <w:rPr/>
              <w:t> </w:t>
            </w:r>
          </w:p>
        </w:tc>
        <w:tc>
          <w:tcPr>
            <w:tcW w:w="816" w:type="dxa"/>
            <w:tcBorders/>
            <w:shd w:fill="B6DEE8" w:val="clear"/>
            <w:vAlign w:val="center"/>
          </w:tcPr>
          <w:p>
            <w:pPr>
              <w:pStyle w:val="TableContents"/>
              <w:bidi w:val="0"/>
              <w:spacing w:before="0" w:after="283"/>
              <w:jc w:val="left"/>
              <w:rPr/>
            </w:pPr>
            <w:r>
              <w:rPr/>
              <w:t> </w:t>
            </w:r>
          </w:p>
        </w:tc>
        <w:tc>
          <w:tcPr>
            <w:tcW w:w="16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B6DEE8" w:val="cle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799</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related-party components of the lease right-of-use assets, lease liabilities, short-term, and lease liabilities, long-term are presented as part of the right-of-use asset and lease liability on the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Debt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Brendan Carroll, a Senior Partner at Victory Park Capital Advisors, LLC ("VPC"), joined the board of directors of the Company upon closing of the Business Combination. Interest expense related to the Debt Facility totaled $2.0 million and $3.9 million for the three and six months ended June 30, 2024, respectively. For more information about the Debt Facility with VPC, refer to Note 10, Debt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Legal Services</w:t>
      </w:r>
    </w:p>
    <w:p>
      <w:pPr>
        <w:pStyle w:val="TextBody"/>
        <w:bidi w:val="0"/>
        <w:jc w:val="left"/>
        <w:rPr>
          <w:rFonts w:ascii="Times New Roman" w:hAnsi="Times New Roman"/>
          <w:color w:val="000000"/>
          <w:sz w:val="20"/>
        </w:rPr>
      </w:pPr>
      <w:r>
        <w:rPr>
          <w:rFonts w:ascii="Times New Roman" w:hAnsi="Times New Roman"/>
          <w:color w:val="000000"/>
          <w:sz w:val="20"/>
        </w:rPr>
        <w:t xml:space="preserve">The law firm of Mitchell Sandler LLC, of which the Company's director Andrea Mitchell is a partner, provided legal services to the Company, which totaled $0.1 million and $0.4 million for the three and six months ended June 30, 2024, respectively. </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17 401(k) Savings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$0.5 million and $1.0 million for the three and six months ended June 30, 2024, respectively, and $0.6 million and $1.1 million for the three and six months ended June 30, 2023,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18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Subsequent events are events or transactions that occur after the condensed consolidated balance sheet date, but before the condensed consolidated financial statements are available to be issued. The Company recognizes in the condensed consolidated financial statements the effects of all subsequent events that provide additional evidence about conditions that existed at the date of the condensed consolidated balance sheet, including the estimates inherent in the process of preparing the condensed consolidated financial statements. The Company’s condensed consolidated financial statements do not recognize subsequent events that provide evidence about conditions that did not exist at the date of the condensed consolidated balance sheet but arose after the condensed consolidated balance sheet date and before the condensed consolidated financial statements were available to be issued.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2_mda"/>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The following discussion and analysis of the Company’s financial condition and results of operations should be read in conjunction with our condensed consolidated financial statements and the notes related thereto which are included elsewhere in this report.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“Risk Factors” and elsewhere in our Annual Report on Form 10-K </w:t>
      </w:r>
      <w:r>
        <w:rPr>
          <w:rFonts w:ascii="Times New Roman" w:hAnsi="Times New Roman"/>
          <w:color w:val="000000"/>
          <w:sz w:val="20"/>
        </w:rPr>
        <w:t xml:space="preserve">for the year ended December 31, 2023 filed with the Securities and Exchange Commission (the “SEC”) on March 5, 2024 (the “Annual Report”) </w:t>
      </w:r>
      <w:r>
        <w:rPr>
          <w:rFonts w:ascii="Times New Roman" w:hAnsi="Times New Roman"/>
          <w:i/>
          <w:color w:val="000000"/>
          <w:sz w:val="20"/>
        </w:rPr>
        <w:t>and in our subsequent Quarterly Reports on Form 10-Q.</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story of David vs. Goliath, the small underdog is able to outsmart and defeat his larger adversary. This is the spirit behind the name “Dave.” We have built an integrated financial services online platform that provides millions of Americans with seamless access to a variety of intuitive financial products at a fraction of the cost and with much higher speed to value than that of the legacy financial services incumbents, such as traditional banks and other financial institutions. Our mission is to build products that level the financial playing field. Our near-term strategy is focused on delivering a superior banking experience for anyone living paycheck to paycheck.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our observation and analysis of Member data, legacy financial institutions charge high fees for consumer banking and other financial services products, which disproportionately burdens tens of millions of Americans who can least afford them. We see this dynamic playing out with our Members who we believe are on average paying between $300-$400 in overdraft, maintenance and other fees to their existing bank for basic checking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we see a significant opportunity to address the broader short-term credit market. According to a 2023 report by The Financial Health Network ("FHN"), legacy financial institutions charge approximately $40 billion in fees annually. The FHN estimates that financially “coping” and “vulnerable” populations pay over $160 billion a year in fees and interest for access to short-term credit. Our prospective Member opportunity is also significant. We estimate that our total addressable market consists of between 160 million to 180 million Americans who are in need of financial stability and are either not served or underserved by legacy financial institutions.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Dave offers a suite of innovative financial products aimed at helping our Members improve their financial health. To help Members avoid punitive overdraft fees and access short-term liquidity, Dave offers cash advances through its flagship 0% interest ExtraCash product. Through Dave Banking, we provide a digital checking account experience, seamlessly integrated with ExtraCash advances, with no hidden fees. With a Dave Banking account, Members have access to valuable tools for building long-term financial health, such as Goals savings accounts and customizable automatic round-up savings on debit spend transactions. We also help Members generate extra income for spending or emergencies through high APY savings rates, our Side Hustle product, where we present Members with supplemental work opportunities, and through our Surveys product, where Members can earn supplemental income by taking surveys. Our budgeting tool helps Members manage their upcoming bills to avoid overspending. </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xml:space="preserve">We have only begun to address the many inequities in financial services, but our progress to date demonstrates the demand for Dave to improve the financial system for the everyday person. Since inception and through the date of this report, nearly 15 million Members have registered on the Dave app and over 11 million Members have used at least one of our products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Comparability of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results of operations and financial position may not be comparable to historical results as a result of the consummation of the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Factors Affecting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future operating results and cash flows are dependent upon a number of opportunities, challenges and other factors, including Member growth and activity, product expansion, competition, industry trends and general economic conditions.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Member Growth and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Product Expansion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Competition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ExtraCash business, competition for deposits in and debit card spending from our Dave Banking product from traditional banks and digital banking products and competition for subscribers to our personal financial management tools.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Concentration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currently rely on agreements with Evolve, our only bank partner, to provide ExtraCash and other deposit accounts, debit card services and other transaction services to us and our Members. See Part II Item 1A, “Risk Factors” for additional information. Given the size and consistent growth of our Member base as well as how our product capabilities have been expanding, we are in the process of evaluating additional financial institutions with which we can partner.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Industry Trends/General Economic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economic cycles to affect our business, financial performance, and financial condition. Macroeconomic conditions, including, but not limited to, rising interest rates, inflation, unemployment rates, and consumer sentiment may impact consumer spending behavior and consumer demand for financial products. Although the Company’s business operations have not been materially impacted as of the date of this report, our business, financial condition, results of operations and prospects may be adversely affected due to the ongoing nature of these macroeconomic factors. The recent rise in inflation and corresponding rise in interest rates has increased the costs of borrowing on our Debt Facility. Higher interest rates also often lead to higher payment obligations, which may reduce the ability of members to repay their advances and, therefore, lead to increased delinquencies, write-offs and decreased recoveries. We also believe that higher interest rates may increase demand for ExtraCash advances as consumers seek additional sources of liquidity to help them fund higher costs of living. Additionally, higher levels of unemployment could adversely impact members’ income levels and, hence, the ability of members to repay their advances which could lead to deterioration in credit performance. We believe that our underwriting engine is well positioned to evaluate credit risk in a higher unemployment environment as it analyzes bank account transaction data to assess, nearly in real-time, changes in members’ income, spending, savings, and employment status. We also believe that demand for ExtraCash advances may increase in periods of higher unemployment as consumers seek additional sources of liquidity to help them meet their financial obligations.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Key Components of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Currently, we conduct business through one operating segment which constitutes a single reportable segment. For more information about our basis of presentation, refer to Note 2 in the accompanying condensed consolidated financial statements of Dave included in this report.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Service based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Service based revenue, net primarily consists of optional express processing fees, optional tips and subscriptions charged to Members, net of processor-related costs associated with advance disbursements. Service based revenue, net also consists of lead generation fees from our Side Hustle advertising partners and revenue share from our surveys partner.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Transaction based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Transaction based revenue, net primarily consists of interchange and ATM revenues from our Checking Product, net of interchange fees, ATM-related fees, and interest earned by Members, fees earned from funding and withdrawal-related transactions, and volume support from a certain co-branded agreement and deposit referral fees that are recognized at the point in time the transactions occur, as the performance obligations are satisfied and the variable consideration is not constrained.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classify our operating expenses into the following five categories: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Provision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credit losses primarily consists of an allowance for expected credit losses at a level estimated to be adequate to absorb credit losses inherent in the outstanding advances receivable, inclusive of outstanding processing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consolidated statement of operations. We consider advances aged more than 120 days or which become uncollectible based on information available to us as impaired. All impaired advances are deemed uncollectible and subsequently written off and are a direct reduction to the allowance for credit losses. Subsequent recoveries, if any, of Member advances written-off are recorded as a reduction to Member advances, resulting in a reduction to the allowance for credit losses and a corresponding reduction to the provision for credit losses in the consolidated statements of operations when collected.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Processing and Servicing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and servicing fees consist of fees paid to our processing partners for the recovery of advances, optional tips, optional express processing fees and subscriptions. These expenses also include fees paid for services to connect Members’ bank accounts to our application. Except for processing and servicing fees associated with advance disbursements which are recorded net against revenue, all other processing and service fees are expensed as incurred.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Advertising and Marketing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Advertising and marketing expenses consist primarily of fees we pay to our advertising and marketing platform partners. We incur advertising, marketing and production-related expenses for online, social media and television advertising and for partnerships and promotional advertising. Advertising and marketing expenses are expensed as incurred although they typically deliver a benefit over an extended period.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Compensation and Benefits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manage routine customer service inquiries and support.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 Operating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operating expenses consist primarily of technology and infrastructure (third-party Software as a Service or “SaaS”), commitments to charity, transaction based costs (program expenses, association fees, processor fees, losses from Member-disputed transactions, bank card fees and fraud), depreciation and amortization of property and equipment and intangible assets, legal fees, rent, certain sales tax related costs, office related expenses, public relations costs, professional services fees, travel and entertainment,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insurance. Costs associated with technology and infrastructure (third-party SaaS), depreciation and amortization of property and equipment and intangible assets, legal fees, rent, office related expenses, public relations costs, professional services fees, travel and entertainment, and insurance vary based upon our investment in infrastructure, business development, risk management and internal controls and are generally not correlated with our operating revenues or other transaction metrics.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expenses consist of interest income, interest expense, gain on extinguishment of debt, changes in fair value of earnout liabilities and changes in fair value of warrant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(benefit) for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Provision (benefit) for income taxes consists of the federal and state corporate income taxes accrued on income resulting from the sale of our services.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Three Months Ended June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revenues</w:t>
      </w:r>
    </w:p>
    <w:p>
      <w:pPr>
        <w:pStyle w:val="TextBody"/>
        <w:bidi w:val="0"/>
        <w:jc w:val="left"/>
        <w:rPr/>
      </w:pPr>
      <w:r>
        <w:rPr/>
        <w:t> </w:t>
      </w:r>
    </w:p>
    <w:tbl>
      <w:tblPr>
        <w:tblW w:w="8851" w:type="dxa"/>
        <w:jc w:val="left"/>
        <w:tblInd w:w="0" w:type="dxa"/>
        <w:tblLayout w:type="fixed"/>
        <w:tblCellMar>
          <w:top w:w="28" w:type="dxa"/>
          <w:left w:w="28" w:type="dxa"/>
          <w:bottom w:w="28" w:type="dxa"/>
          <w:right w:w="28" w:type="dxa"/>
        </w:tblCellMar>
      </w:tblPr>
      <w:tblGrid>
        <w:gridCol w:w="3241"/>
        <w:gridCol w:w="146"/>
        <w:gridCol w:w="259"/>
        <w:gridCol w:w="829"/>
        <w:gridCol w:w="179"/>
        <w:gridCol w:w="179"/>
        <w:gridCol w:w="259"/>
        <w:gridCol w:w="829"/>
        <w:gridCol w:w="146"/>
        <w:gridCol w:w="146"/>
        <w:gridCol w:w="239"/>
        <w:gridCol w:w="766"/>
        <w:gridCol w:w="166"/>
        <w:gridCol w:w="146"/>
        <w:gridCol w:w="279"/>
        <w:gridCol w:w="726"/>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B6DEE8" w:val="clear"/>
            <w:vAlign w:val="center"/>
          </w:tcPr>
          <w:p>
            <w:pPr>
              <w:pStyle w:val="TableContents"/>
              <w:bidi w:val="0"/>
              <w:spacing w:before="0" w:after="283"/>
              <w:jc w:val="left"/>
              <w:rPr/>
            </w:pPr>
            <w:r>
              <w:rPr/>
              <w:t> </w:t>
            </w:r>
          </w:p>
        </w:tc>
        <w:tc>
          <w:tcPr>
            <w:tcW w:w="1088" w:type="dxa"/>
            <w:gridSpan w:val="2"/>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1088"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005" w:type="dxa"/>
            <w:gridSpan w:val="2"/>
            <w:tcBorders/>
            <w:shd w:fill="B6DEE8" w:val="clear"/>
            <w:vAlign w:val="center"/>
          </w:tcPr>
          <w:p>
            <w:pPr>
              <w:pStyle w:val="TableContents"/>
              <w:bidi w:val="0"/>
              <w:spacing w:before="0" w:after="283"/>
              <w:jc w:val="left"/>
              <w:rPr/>
            </w:pPr>
            <w:r>
              <w:rPr/>
              <w:t> </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005" w:type="dxa"/>
            <w:gridSpan w:val="2"/>
            <w:tcBorders/>
            <w:shd w:fill="B6DEE8" w:val="clear"/>
            <w:vAlign w:val="center"/>
          </w:tcPr>
          <w:p>
            <w:pPr>
              <w:pStyle w:val="TableContents"/>
              <w:bidi w:val="0"/>
              <w:spacing w:before="0" w:after="283"/>
              <w:jc w:val="left"/>
              <w:rPr/>
            </w:pPr>
            <w:r>
              <w:rPr/>
              <w:t> </w:t>
            </w:r>
          </w:p>
        </w:tc>
        <w:tc>
          <w:tcPr>
            <w:tcW w:w="316" w:type="dxa"/>
            <w:tcBorders/>
            <w:shd w:fill="B6DEE8"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fees, net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49,595</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Tips</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16,077</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13,139</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vAlign w:val="center"/>
          </w:tcPr>
          <w:p>
            <w:pPr>
              <w:pStyle w:val="TableContents"/>
              <w:bidi w:val="0"/>
              <w:spacing w:before="0" w:after="283"/>
              <w:jc w:val="left"/>
              <w:rPr/>
            </w:pPr>
            <w:r>
              <w:rPr/>
              <w:t> </w:t>
            </w:r>
          </w:p>
        </w:tc>
        <w:tc>
          <w:tcPr>
            <w:tcW w:w="25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80,117</w:t>
            </w:r>
          </w:p>
        </w:tc>
        <w:tc>
          <w:tcPr>
            <w:tcW w:w="17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61,235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18,882</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Service based revenue, net—</w:t>
      </w:r>
      <w:r>
        <w:rPr>
          <w:rFonts w:ascii="Times New Roman" w:hAnsi="Times New Roman"/>
          <w:color w:val="000000"/>
          <w:sz w:val="20"/>
        </w:rPr>
        <w:t xml:space="preserv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Processing fees,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fees, net of processor costs associated with advance disbursements, for the three months ended June 30, 2024 were $49.6 million, an increase of $13.6 million, or 38%, from $36.0 million for the three months ended June 30, 2023. The increase was primarily attributable to an 18% increase in monthly transacting Members period over period, increases in total advance volume from approximately $866.9 million to approximately $1,186.2 million period over period and average advance amounts that increased from $156 to $166 as of the three months ended June 30, 2023 and 2024, respectively. The average processing fees Members paid to expedite these advances increased slightly due to the aforementioned factors above, while the percentage of Members that chose to pay a processing fee to expedite an advance decreased slightly for the three months ended June 30, 2024 as compared to the three months ended June 30, 2023, respectively. Prospectively, we expect processing fees to increase as expedited advance volume and average expedited advance sizes increase, however, processing fees have not always trended ratably. Prior to the implementation of percentage-based processing fees in late 2023, processing fees did not scale ratably with expedited advance disbursement sizes.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Tips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Tips for the three months ended June 30, 2024 were $16.1 million, an increase of $2.9 million, or 22%, from $13.1 million for the three months ended June 30, 2023. The increase was primarily attributable to higher tips from Members relating to increases in total advance volume from approximately $866.9 million to approximately $1,186.2 million year over year and average advance amounts increased from $156 to $166 for the three months ended June 30, 2023 and 2024, respectively. The average tip Members chose to leave increased modestly while the percentage of Members that chose to leave a tip decreased modestly for the three months ended June 30, 2024 as compared to the three months ended June 30, 2023, respectively. Tip amounts may not always trend ratably as tips can vary depending on the total amount of the advance, amount of tips Members choose to leave and the percentage of Members who leave a tip.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Subscriptions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Subscriptions for the three months ended June 30, 2024 were $5.9 million, an increase of $0.5 million, or 8%, from $5.4 million for the three months ended June 30, 2023. The increase was primarily attributable to an increase in paying Members on our platform.</w:t>
      </w:r>
    </w:p>
    <w:p>
      <w:pPr>
        <w:pStyle w:val="TextBody"/>
        <w:bidi w:val="0"/>
        <w:spacing w:before="360" w:after="283"/>
        <w:jc w:val="left"/>
        <w:rPr>
          <w:rFonts w:ascii="Times New Roman" w:hAnsi="Times New Roman"/>
          <w:sz w:val="20"/>
        </w:rPr>
      </w:pPr>
      <w:r>
        <w:rPr>
          <w:rFonts w:ascii="Times New Roman" w:hAnsi="Times New Roman"/>
          <w:i/>
          <w:color w:val="000000"/>
          <w:sz w:val="20"/>
        </w:rPr>
        <w:t>Transaction based revenue, net</w:t>
      </w:r>
      <w:r>
        <w:rPr>
          <w:rFonts w:ascii="Times New Roman" w:hAnsi="Times New Roman"/>
          <w:color w:val="000000"/>
          <w:sz w:val="20"/>
        </w:rPr>
        <w:t xml:space="preserve">—Transaction based revenue, net for the three months ended June 30, 2024 were $8.5 million, an increase of $2.2 million, or 35%, from $6.3 million for the three months ended June 30, 2024. The increase was primarily attributable to interchange revenue earned from the growth in Members engaging with our Checking Product and card spend of $388.4 million for the three months ended June 30, 2024, an increase of 29%, from $301.3 million for the three months ended June 30, 2023 and increases in fees earned from Members' funding and withdrawal-related transactions, offset by $0.4 million in interest due to Members for the three months ended June 30, 2024.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Operating expenses</w:t>
      </w:r>
    </w:p>
    <w:p>
      <w:pPr>
        <w:pStyle w:val="TextBody"/>
        <w:bidi w:val="0"/>
        <w:jc w:val="left"/>
        <w:rPr/>
      </w:pPr>
      <w:r>
        <w:rPr/>
        <w:t> </w:t>
      </w:r>
    </w:p>
    <w:tbl>
      <w:tblPr>
        <w:tblW w:w="8851" w:type="dxa"/>
        <w:jc w:val="left"/>
        <w:tblInd w:w="0" w:type="dxa"/>
        <w:tblLayout w:type="fixed"/>
        <w:tblCellMar>
          <w:top w:w="28" w:type="dxa"/>
          <w:left w:w="28" w:type="dxa"/>
          <w:bottom w:w="28" w:type="dxa"/>
          <w:right w:w="28" w:type="dxa"/>
        </w:tblCellMar>
      </w:tblPr>
      <w:tblGrid>
        <w:gridCol w:w="3241"/>
        <w:gridCol w:w="146"/>
        <w:gridCol w:w="259"/>
        <w:gridCol w:w="829"/>
        <w:gridCol w:w="179"/>
        <w:gridCol w:w="179"/>
        <w:gridCol w:w="259"/>
        <w:gridCol w:w="829"/>
        <w:gridCol w:w="146"/>
        <w:gridCol w:w="146"/>
        <w:gridCol w:w="252"/>
        <w:gridCol w:w="753"/>
        <w:gridCol w:w="166"/>
        <w:gridCol w:w="146"/>
        <w:gridCol w:w="279"/>
        <w:gridCol w:w="726"/>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14,365</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5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Processing and servicing costs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and marketing</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52" w:type="dxa"/>
            <w:tcBorders/>
            <w:shd w:fill="B6DEE8" w:val="clear"/>
            <w:vAlign w:val="center"/>
          </w:tcPr>
          <w:p>
            <w:pPr>
              <w:pStyle w:val="TableContents"/>
              <w:bidi w:val="0"/>
              <w:spacing w:before="0" w:after="283"/>
              <w:jc w:val="left"/>
              <w:rPr/>
            </w:pPr>
            <w:r>
              <w:rPr/>
              <w:t> </w:t>
            </w:r>
          </w:p>
        </w:tc>
        <w:tc>
          <w:tcPr>
            <w:tcW w:w="75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24,515</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B6DEE8" w:val="clear"/>
            <w:vAlign w:val="center"/>
          </w:tcPr>
          <w:p>
            <w:pPr>
              <w:pStyle w:val="TableContents"/>
              <w:bidi w:val="0"/>
              <w:spacing w:before="0" w:after="283"/>
              <w:jc w:val="left"/>
              <w:rPr/>
            </w:pPr>
            <w:r>
              <w:rPr/>
              <w:t> </w:t>
            </w:r>
          </w:p>
        </w:tc>
        <w:tc>
          <w:tcPr>
            <w:tcW w:w="2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17,031</w:t>
            </w:r>
          </w:p>
        </w:tc>
        <w:tc>
          <w:tcPr>
            <w:tcW w:w="17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5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74,448</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Provision for credit losses</w:t>
      </w:r>
      <w:r>
        <w:rPr>
          <w:rFonts w:ascii="Times New Roman" w:hAnsi="Times New Roman"/>
          <w:color w:val="000000"/>
          <w:sz w:val="20"/>
        </w:rPr>
        <w:t>—The provision for credit losses totaled $14.4 million for the three months ended June 30, 2024, compared to $15.9 million for the three months ended June 30, 2023. The decrease of $1.6 million, or 10%, was primarily attributable to a decrease in provision expense of $2.3 million related to Member advances aged over 120 days and those that have become uncollectible based on information available to us, offset by an increase in provision expense of $0.8 million related to Member advances aged 120 days and under.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provision expense of $2.3 million related to Member advances aged over 120 days and those which have become uncollectible based on information available to us, period over period, was attributed to improved collections performance due primarily to underwriting modifications related to advance eligibility requirements, advance stability, new Member conversion and risk detection, despite increases in transacting Members, average advance amounts from $156 to $166 and total advance volume from $866.9 million to approximately $1,186.2 million for the three months ended June 30, 2023 and 2024, respectively. All impaired advances deemed uncollectible are subsequently written-off and are a direct reduction to the allowance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provision expense of $0.8 million related to Member advances aged 120 days and under was primarily attributed to a 36.8% increase in advance volume during the period ended June 30, 2024 compared to the period ended June 30, 2023 with a corresponding increase in amounts outstanding as of the three months ended June 30, 2024 as compared to June 30, 2023. This resulted in an increase to the allowance for credit losses and corresponding increase in provision expense during the three months ended June 30, 2024 as compared to June 30, 2023. We anticipate volatility in Member advances outstanding each period as they are directly correlated with the timing and volume of Member advance activity during the last 120 days prior to the end of the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Historical loss and collections rates utilized in the calculation of the provision for credit losses improved slightly when compared to historical rates due to continued improvement in historical collections performance. Any changes to our historical loss and collections experience directly affect the historical loss rates utilized in the calculation of the allowance for uncollectible advances. The changes in the allowance for credit losses, period over period, have a direct impact on the provision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information on the aging of Member advances and a roll-forward of the allowance for credit losses, refer to the tables in Note 5 Member Advances, Net in the accompanying consolidated financial statements of Dave included in this report.</w:t>
      </w:r>
    </w:p>
    <w:p>
      <w:pPr>
        <w:pStyle w:val="TextBody"/>
        <w:bidi w:val="0"/>
        <w:spacing w:before="240" w:after="283"/>
        <w:jc w:val="left"/>
        <w:rPr>
          <w:rFonts w:ascii="Times New Roman" w:hAnsi="Times New Roman"/>
          <w:sz w:val="20"/>
        </w:rPr>
      </w:pPr>
      <w:r>
        <w:rPr>
          <w:rFonts w:ascii="Times New Roman" w:hAnsi="Times New Roman"/>
          <w:i/>
          <w:color w:val="000000"/>
          <w:sz w:val="20"/>
        </w:rPr>
        <w:t>Processing and service costs</w:t>
      </w:r>
      <w:r>
        <w:rPr>
          <w:rFonts w:ascii="Times New Roman" w:hAnsi="Times New Roman"/>
          <w:color w:val="000000"/>
          <w:sz w:val="20"/>
        </w:rPr>
        <w:t xml:space="preserve">—Processing and servicing costs totaled $7.8 million for the three months ended June 30, 2024, compared to $7.2 million for the three months ended June 30, 2023. The increase of $0.6 million, or 8%, was primarily driven by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increases in advance volume from $866.9 million to approximately $1,186.2 million, offset by, continued technology enhancements made to our ExtraCash payments structure along with discounts and cost savings due to price reductions from our processors.</w:t>
      </w:r>
    </w:p>
    <w:p>
      <w:pPr>
        <w:pStyle w:val="TextBody"/>
        <w:bidi w:val="0"/>
        <w:spacing w:before="240" w:after="283"/>
        <w:jc w:val="left"/>
        <w:rPr>
          <w:rFonts w:ascii="Times New Roman" w:hAnsi="Times New Roman"/>
          <w:sz w:val="20"/>
        </w:rPr>
      </w:pPr>
      <w:r>
        <w:rPr>
          <w:rFonts w:ascii="Times New Roman" w:hAnsi="Times New Roman"/>
          <w:i/>
          <w:color w:val="000000"/>
          <w:sz w:val="20"/>
        </w:rPr>
        <w:t>Advertising and marketing</w:t>
      </w:r>
      <w:r>
        <w:rPr>
          <w:rFonts w:ascii="Times New Roman" w:hAnsi="Times New Roman"/>
          <w:color w:val="000000"/>
          <w:sz w:val="20"/>
        </w:rPr>
        <w:t>—Advertising and marketing expenses totaled $10.7 million for the three months ended June 30, 2024, compared to $15.0 million for the three months ended June 30, 2023. The decrease of $4.3 million, or 28%, was primarily attributable to a more targeted, conversion-focused spend approach on our advertising campaigns, production and promotions across various social media platforms and television. Additionally, channel and creative optimization, long-tail marketing investments made during the second quarter of 2023 and ongoing improvements to our measurement and reporting infrastructure allowed us to invest more intelligently across our marketing mix.</w:t>
      </w:r>
    </w:p>
    <w:p>
      <w:pPr>
        <w:pStyle w:val="TextBody"/>
        <w:bidi w:val="0"/>
        <w:spacing w:before="240" w:after="283"/>
        <w:jc w:val="left"/>
        <w:rPr>
          <w:rFonts w:ascii="Times New Roman" w:hAnsi="Times New Roman"/>
          <w:sz w:val="20"/>
        </w:rPr>
      </w:pPr>
      <w:r>
        <w:rPr>
          <w:rFonts w:ascii="Times New Roman" w:hAnsi="Times New Roman"/>
          <w:i/>
          <w:color w:val="000000"/>
          <w:sz w:val="20"/>
        </w:rPr>
        <w:t>Compensation and benefits</w:t>
      </w:r>
      <w:r>
        <w:rPr>
          <w:rFonts w:ascii="Times New Roman" w:hAnsi="Times New Roman"/>
          <w:color w:val="000000"/>
          <w:sz w:val="20"/>
        </w:rPr>
        <w:t>—Compensation and benefits expenses totaled $24.5 million for the three months ended June 30, 2024, compared to $23.9 million for the three months ended June 30, 2023. The increase of $0.6 million, or 2%,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stock-based compensation of $1.1 million, primarily due to larger restricted stock units granted to employees during the three months ended June 30, 2024 compared to the three months ended June 30, 2023 and additional stock-based compensation expense related to a modification of price targets in the market vesting conditions for unvested RSUs, offset by a reduction in stock-based compensation expense related to stock options granted in prior years that have fully vested;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payroll related costs of $0.3 million, primarily due to a reduction in headcount and an increase in salaries capitalized related to internally developed software;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contractor and consulting fees of $0.2 million due to the reduction in external support for IT security, finance, marketing, design and customer service resources.</w:t>
      </w:r>
    </w:p>
    <w:p>
      <w:pPr>
        <w:pStyle w:val="TextBody"/>
        <w:bidi w:val="0"/>
        <w:spacing w:before="240" w:after="283"/>
        <w:jc w:val="left"/>
        <w:rPr>
          <w:rFonts w:ascii="Times New Roman" w:hAnsi="Times New Roman"/>
          <w:sz w:val="20"/>
        </w:rPr>
      </w:pPr>
      <w:r>
        <w:rPr>
          <w:rFonts w:ascii="Times New Roman" w:hAnsi="Times New Roman"/>
          <w:i/>
          <w:color w:val="000000"/>
          <w:sz w:val="20"/>
        </w:rPr>
        <w:t>Other operating expenses</w:t>
      </w:r>
      <w:r>
        <w:rPr>
          <w:rFonts w:ascii="Times New Roman" w:hAnsi="Times New Roman"/>
          <w:color w:val="000000"/>
          <w:sz w:val="20"/>
        </w:rPr>
        <w:t>—Other operating expenses totaled $17.0 million for the three months ended June 30, 2024, compared to $20.1 million for the three months ended June 30, 2023. The decrease of $3.1 million, or 15%,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legal expenses of $4.4 million, primarily due to lower settlement costs and outside counsel services during the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insurance related costs of $0.3 million, primarily related to lower director and officer, general liability and cyber insurance premiums;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various general and administrative expenses of $0.3 million, primarily due to cost cutting measures enacted across the company;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expenses related to our Checking Product of $0.9 million, primarily attributable to processing fees, card fees and fraud related costs associated with the growth in Members and the number of transactions processed;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depreciation and amortization of $0.6 million, primarily due to increased amortization of other internally capitalized project costs and depreciation related to leasehold improvements and equipment purchases;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technology and infrastructure expenses of $0.3 million, primarily due to increased costs to support the growth of our business and development of new products and features.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Other (income)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83"/>
        <w:gridCol w:w="146"/>
        <w:gridCol w:w="269"/>
        <w:gridCol w:w="730"/>
        <w:gridCol w:w="212"/>
        <w:gridCol w:w="186"/>
        <w:gridCol w:w="269"/>
        <w:gridCol w:w="807"/>
        <w:gridCol w:w="166"/>
        <w:gridCol w:w="146"/>
        <w:gridCol w:w="248"/>
        <w:gridCol w:w="741"/>
        <w:gridCol w:w="166"/>
        <w:gridCol w:w="146"/>
        <w:gridCol w:w="225"/>
        <w:gridCol w:w="743"/>
        <w:gridCol w:w="322"/>
      </w:tblGrid>
      <w:tr>
        <w:trPr/>
        <w:tc>
          <w:tcPr>
            <w:tcW w:w="4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6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3"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4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3"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B6DEE8" w:val="clear"/>
            <w:vAlign w:val="center"/>
          </w:tcPr>
          <w:p>
            <w:pPr>
              <w:pStyle w:val="TableContents"/>
              <w:bidi w:val="0"/>
              <w:spacing w:before="0" w:after="283"/>
              <w:jc w:val="left"/>
              <w:rPr/>
            </w:pPr>
            <w:r>
              <w:rPr/>
              <w:t> </w:t>
            </w:r>
          </w:p>
        </w:tc>
        <w:tc>
          <w:tcPr>
            <w:tcW w:w="26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21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B6DEE8" w:val="clear"/>
            <w:vAlign w:val="center"/>
          </w:tcPr>
          <w:p>
            <w:pPr>
              <w:pStyle w:val="TableContents"/>
              <w:bidi w:val="0"/>
              <w:spacing w:before="0" w:after="283"/>
              <w:jc w:val="left"/>
              <w:rPr/>
            </w:pPr>
            <w:r>
              <w:rPr/>
              <w:t> </w:t>
            </w:r>
          </w:p>
        </w:tc>
        <w:tc>
          <w:tcPr>
            <w:tcW w:w="26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4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5" w:type="dxa"/>
            <w:tcBorders/>
            <w:shd w:fill="B6DEE8" w:val="clear"/>
            <w:vAlign w:val="center"/>
          </w:tcPr>
          <w:p>
            <w:pPr>
              <w:pStyle w:val="TableContents"/>
              <w:bidi w:val="0"/>
              <w:spacing w:before="0" w:after="283"/>
              <w:jc w:val="left"/>
              <w:rPr/>
            </w:pPr>
            <w:r>
              <w:rPr/>
              <w:t> </w:t>
            </w:r>
          </w:p>
        </w:tc>
        <w:tc>
          <w:tcPr>
            <w:tcW w:w="74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2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3"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B6DEE8" w:val="clear"/>
            <w:vAlign w:val="center"/>
          </w:tcPr>
          <w:p>
            <w:pPr>
              <w:pStyle w:val="TableContents"/>
              <w:bidi w:val="0"/>
              <w:spacing w:before="0" w:after="283"/>
              <w:jc w:val="left"/>
              <w:rPr/>
            </w:pPr>
            <w:r>
              <w:rPr/>
              <w:t> </w:t>
            </w:r>
          </w:p>
        </w:tc>
        <w:tc>
          <w:tcPr>
            <w:tcW w:w="269" w:type="dxa"/>
            <w:tcBorders/>
            <w:shd w:fill="B6DEE8" w:val="clear"/>
            <w:vAlign w:val="center"/>
          </w:tcPr>
          <w:p>
            <w:pPr>
              <w:pStyle w:val="TableContents"/>
              <w:bidi w:val="0"/>
              <w:spacing w:before="0" w:after="283"/>
              <w:jc w:val="left"/>
              <w:rPr/>
            </w:pPr>
            <w:r>
              <w:rPr/>
              <w:t> </w:t>
            </w:r>
          </w:p>
        </w:tc>
        <w:tc>
          <w:tcPr>
            <w:tcW w:w="73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B6DEE8" w:val="clear"/>
            <w:vAlign w:val="center"/>
          </w:tcPr>
          <w:p>
            <w:pPr>
              <w:pStyle w:val="TableContents"/>
              <w:bidi w:val="0"/>
              <w:spacing w:before="0" w:after="283"/>
              <w:jc w:val="left"/>
              <w:rPr/>
            </w:pPr>
            <w:r>
              <w:rPr/>
              <w:t> </w:t>
            </w:r>
          </w:p>
        </w:tc>
        <w:tc>
          <w:tcPr>
            <w:tcW w:w="269" w:type="dxa"/>
            <w:tcBorders/>
            <w:shd w:fill="B6DEE8" w:val="clear"/>
            <w:vAlign w:val="center"/>
          </w:tcPr>
          <w:p>
            <w:pPr>
              <w:pStyle w:val="TableContents"/>
              <w:bidi w:val="0"/>
              <w:spacing w:before="0" w:after="283"/>
              <w:jc w:val="left"/>
              <w:rPr/>
            </w:pPr>
            <w:r>
              <w:rPr/>
              <w:t> </w:t>
            </w:r>
          </w:p>
        </w:tc>
        <w:tc>
          <w:tcPr>
            <w:tcW w:w="80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48" w:type="dxa"/>
            <w:tcBorders/>
            <w:shd w:fill="B6DEE8" w:val="clear"/>
            <w:vAlign w:val="center"/>
          </w:tcPr>
          <w:p>
            <w:pPr>
              <w:pStyle w:val="TableContents"/>
              <w:bidi w:val="0"/>
              <w:spacing w:before="0" w:after="283"/>
              <w:jc w:val="left"/>
              <w:rPr/>
            </w:pPr>
            <w:r>
              <w:rPr/>
              <w:t> </w:t>
            </w:r>
          </w:p>
        </w:tc>
        <w:tc>
          <w:tcPr>
            <w:tcW w:w="74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5" w:type="dxa"/>
            <w:tcBorders/>
            <w:shd w:fill="B6DEE8" w:val="clear"/>
            <w:vAlign w:val="center"/>
          </w:tcPr>
          <w:p>
            <w:pPr>
              <w:pStyle w:val="TableContents"/>
              <w:bidi w:val="0"/>
              <w:spacing w:before="0" w:after="283"/>
              <w:jc w:val="left"/>
              <w:rPr/>
            </w:pPr>
            <w:r>
              <w:rPr/>
              <w:t> </w:t>
            </w:r>
          </w:p>
        </w:tc>
        <w:tc>
          <w:tcPr>
            <w:tcW w:w="74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2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3"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vAlign w:val="center"/>
          </w:tcPr>
          <w:p>
            <w:pPr>
              <w:pStyle w:val="TableContents"/>
              <w:bidi w:val="0"/>
              <w:spacing w:before="0" w:after="283"/>
              <w:jc w:val="left"/>
              <w:rPr/>
            </w:pPr>
            <w:r>
              <w:rPr/>
              <w:t> </w:t>
            </w:r>
          </w:p>
        </w:tc>
        <w:tc>
          <w:tcPr>
            <w:tcW w:w="26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1,093</w:t>
            </w:r>
          </w:p>
        </w:tc>
        <w:tc>
          <w:tcPr>
            <w:tcW w:w="21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86" w:type="dxa"/>
            <w:tcBorders/>
            <w:shd w:fill="B6DEE8" w:val="clear"/>
            <w:vAlign w:val="center"/>
          </w:tcPr>
          <w:p>
            <w:pPr>
              <w:pStyle w:val="TableContents"/>
              <w:bidi w:val="0"/>
              <w:spacing w:before="0" w:after="283"/>
              <w:jc w:val="left"/>
              <w:rPr/>
            </w:pPr>
            <w:r>
              <w:rPr/>
              <w:t> </w:t>
            </w:r>
          </w:p>
        </w:tc>
        <w:tc>
          <w:tcPr>
            <w:tcW w:w="26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1,694</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(601</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5" w:type="dxa"/>
            <w:tcBorders/>
            <w:shd w:fill="B6DEE8" w:val="clear"/>
            <w:vAlign w:val="center"/>
          </w:tcPr>
          <w:p>
            <w:pPr>
              <w:pStyle w:val="TableContents"/>
              <w:bidi w:val="0"/>
              <w:spacing w:before="0" w:after="283"/>
              <w:jc w:val="left"/>
              <w:rPr/>
            </w:pPr>
            <w:r>
              <w:rPr/>
              <w:t> </w:t>
            </w:r>
          </w:p>
        </w:tc>
        <w:tc>
          <w:tcPr>
            <w:tcW w:w="74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2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gridSpan w:val="2"/>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8" w:type="dxa"/>
            <w:gridSpan w:val="2"/>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Interest income totaled $0.5 million for the three months ended June 30, 2024, compared to $1.5 million for three months ended June 30, 2023. The decrease of $1.0 million, or 64%, was primarily attributable to lower sales of investments during the quarter ended June 30, 2024 as compared to the quarter ended June 30, 2023.</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Interest expense totaled $2.0 million for the three months ended June 30, 2024, compared to $3.0 million for the three months ended June 30, 2023. The decrease of $1.1 million, or 35%, was primarily attributable to a reduction of interest expense related to the repurchase of the convertible note with FTX Ventures Ltd. in January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Changes in fair value of earnout liability</w:t>
      </w:r>
      <w:r>
        <w:rPr>
          <w:rFonts w:ascii="Times New Roman" w:hAnsi="Times New Roman"/>
          <w:color w:val="000000"/>
          <w:sz w:val="20"/>
        </w:rPr>
        <w:t>—Changes in fair value of earnout liabilities totaled a gain of $0.06 million for the three months ended June 30, 2024, compared to a gain of $0.01 million for the three months ended June 30, 2023. The increase of $0.05 million, or 425%, period over period was primarily attributable to fair value adjustments associated with our earnout shares liability due to decreases in our underlying Class A Common Stock price over the last three months.</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fair value of warrant liability</w:t>
      </w:r>
      <w:r>
        <w:rPr>
          <w:rFonts w:ascii="Times New Roman" w:hAnsi="Times New Roman"/>
          <w:color w:val="000000"/>
          <w:sz w:val="20"/>
        </w:rPr>
        <w:t>—Changes in fair value of warrant liability totaled a gain of $0.3 million for the three months ended June 30, 2024, compared to an expense of $0.2 million for the three months ended June 30, 2023. The decrease of $0.4 million, or 266%, was primarily attributable to fair value adjustments associated with our public and private warrant liabilities due to decreases in our underlying Class A Common Stock price over the last three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 (benefit) for income taxes</w:t>
      </w:r>
    </w:p>
    <w:p>
      <w:pPr>
        <w:pStyle w:val="TextBody"/>
        <w:bidi w:val="0"/>
        <w:jc w:val="left"/>
        <w:rPr/>
      </w:pPr>
      <w:r>
        <w:rPr/>
        <w:t> </w:t>
      </w:r>
    </w:p>
    <w:tbl>
      <w:tblPr>
        <w:tblW w:w="8850" w:type="dxa"/>
        <w:jc w:val="left"/>
        <w:tblInd w:w="0" w:type="dxa"/>
        <w:tblLayout w:type="fixed"/>
        <w:tblCellMar>
          <w:top w:w="28" w:type="dxa"/>
          <w:left w:w="28" w:type="dxa"/>
          <w:bottom w:w="28" w:type="dxa"/>
          <w:right w:w="28" w:type="dxa"/>
        </w:tblCellMar>
      </w:tblPr>
      <w:tblGrid>
        <w:gridCol w:w="3241"/>
        <w:gridCol w:w="146"/>
        <w:gridCol w:w="339"/>
        <w:gridCol w:w="1015"/>
        <w:gridCol w:w="267"/>
        <w:gridCol w:w="234"/>
        <w:gridCol w:w="339"/>
        <w:gridCol w:w="339"/>
        <w:gridCol w:w="146"/>
        <w:gridCol w:w="146"/>
        <w:gridCol w:w="252"/>
        <w:gridCol w:w="753"/>
        <w:gridCol w:w="166"/>
        <w:gridCol w:w="146"/>
        <w:gridCol w:w="175"/>
        <w:gridCol w:w="830"/>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center"/>
              <w:rPr/>
            </w:pPr>
            <w:r>
              <w:rPr/>
              <w:t> </w:t>
            </w:r>
          </w:p>
        </w:tc>
        <w:tc>
          <w:tcPr>
            <w:tcW w:w="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B6DEE8" w:val="clear"/>
            <w:vAlign w:val="center"/>
          </w:tcPr>
          <w:p>
            <w:pPr>
              <w:pStyle w:val="TableContents"/>
              <w:bidi w:val="0"/>
              <w:spacing w:before="0" w:after="283"/>
              <w:jc w:val="left"/>
              <w:rPr/>
            </w:pPr>
            <w:r>
              <w:rPr/>
              <w:t> </w:t>
            </w:r>
          </w:p>
        </w:tc>
        <w:tc>
          <w:tcPr>
            <w:tcW w:w="3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26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4" w:type="dxa"/>
            <w:tcBorders/>
            <w:shd w:fill="B6DEE8" w:val="clear"/>
            <w:vAlign w:val="center"/>
          </w:tcPr>
          <w:p>
            <w:pPr>
              <w:pStyle w:val="TableContents"/>
              <w:bidi w:val="0"/>
              <w:spacing w:before="0" w:after="283"/>
              <w:jc w:val="left"/>
              <w:rPr/>
            </w:pPr>
            <w:r>
              <w:rPr/>
              <w:t> </w:t>
            </w:r>
          </w:p>
        </w:tc>
        <w:tc>
          <w:tcPr>
            <w:tcW w:w="3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5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175" w:type="dxa"/>
            <w:tcBorders/>
            <w:shd w:fill="B6DEE8" w:val="clear"/>
            <w:vAlign w:val="center"/>
          </w:tcPr>
          <w:p>
            <w:pPr>
              <w:pStyle w:val="TableContents"/>
              <w:bidi w:val="0"/>
              <w:spacing w:before="0" w:after="283"/>
              <w:jc w:val="left"/>
              <w:rPr/>
            </w:pPr>
            <w:r>
              <w:rPr/>
              <w:t> </w:t>
            </w:r>
          </w:p>
        </w:tc>
        <w:tc>
          <w:tcPr>
            <w:tcW w:w="83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-25557</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(1,782</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4"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4" w:type="dxa"/>
            <w:gridSpan w:val="2"/>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Provision (benefit) for income taxes for the three months ended June 30, 2024 decreased by approximately $1.8 million compared to the three months ended June 30, 2023. The Company reported income for the three months ended June 30, 2024; however, a decrease in the 2024 estimated annual effective tax rate during the second quarter resulted in a decrease in income tax expense. The Company reported losses for the three months ended June 30, 2023 resulting in state minimum taxes but no income tax benefit on the losses due to the Company’s valuation allowance.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Six Months Ended June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revenues</w:t>
      </w:r>
    </w:p>
    <w:p>
      <w:pPr>
        <w:pStyle w:val="TextBody"/>
        <w:bidi w:val="0"/>
        <w:jc w:val="left"/>
        <w:rPr/>
      </w:pPr>
      <w:r>
        <w:rPr/>
        <w:t> </w:t>
      </w:r>
    </w:p>
    <w:tbl>
      <w:tblPr>
        <w:tblW w:w="8609" w:type="dxa"/>
        <w:jc w:val="left"/>
        <w:tblInd w:w="0" w:type="dxa"/>
        <w:tblLayout w:type="fixed"/>
        <w:tblCellMar>
          <w:top w:w="28" w:type="dxa"/>
          <w:left w:w="28" w:type="dxa"/>
          <w:bottom w:w="28" w:type="dxa"/>
          <w:right w:w="28" w:type="dxa"/>
        </w:tblCellMar>
      </w:tblPr>
      <w:tblGrid>
        <w:gridCol w:w="3241"/>
        <w:gridCol w:w="146"/>
        <w:gridCol w:w="212"/>
        <w:gridCol w:w="787"/>
        <w:gridCol w:w="147"/>
        <w:gridCol w:w="147"/>
        <w:gridCol w:w="212"/>
        <w:gridCol w:w="787"/>
        <w:gridCol w:w="146"/>
        <w:gridCol w:w="146"/>
        <w:gridCol w:w="239"/>
        <w:gridCol w:w="766"/>
        <w:gridCol w:w="166"/>
        <w:gridCol w:w="146"/>
        <w:gridCol w:w="279"/>
        <w:gridCol w:w="726"/>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B6DEE8" w:val="clear"/>
            <w:vAlign w:val="center"/>
          </w:tcPr>
          <w:p>
            <w:pPr>
              <w:pStyle w:val="TableContents"/>
              <w:bidi w:val="0"/>
              <w:spacing w:before="0" w:after="283"/>
              <w:jc w:val="left"/>
              <w:rPr/>
            </w:pPr>
            <w:r>
              <w:rPr/>
              <w:t> </w:t>
            </w:r>
          </w:p>
        </w:tc>
        <w:tc>
          <w:tcPr>
            <w:tcW w:w="999" w:type="dxa"/>
            <w:gridSpan w:val="2"/>
            <w:tcBorders/>
            <w:shd w:fill="B6DEE8" w:val="clear"/>
            <w:vAlign w:val="center"/>
          </w:tcPr>
          <w:p>
            <w:pPr>
              <w:pStyle w:val="TableContents"/>
              <w:bidi w:val="0"/>
              <w:spacing w:before="0" w:after="283"/>
              <w:jc w:val="left"/>
              <w:rPr/>
            </w:pPr>
            <w:r>
              <w:rPr/>
              <w:t> </w:t>
            </w:r>
          </w:p>
        </w:tc>
        <w:tc>
          <w:tcPr>
            <w:tcW w:w="147" w:type="dxa"/>
            <w:tcBorders/>
            <w:shd w:fill="B6DEE8" w:val="clear"/>
            <w:vAlign w:val="center"/>
          </w:tcPr>
          <w:p>
            <w:pPr>
              <w:pStyle w:val="TableContents"/>
              <w:bidi w:val="0"/>
              <w:spacing w:before="0" w:after="283"/>
              <w:jc w:val="left"/>
              <w:rPr/>
            </w:pPr>
            <w:r>
              <w:rPr/>
              <w:t> </w:t>
            </w:r>
          </w:p>
        </w:tc>
        <w:tc>
          <w:tcPr>
            <w:tcW w:w="147" w:type="dxa"/>
            <w:tcBorders/>
            <w:shd w:fill="B6DEE8" w:val="clear"/>
            <w:vAlign w:val="center"/>
          </w:tcPr>
          <w:p>
            <w:pPr>
              <w:pStyle w:val="TableContents"/>
              <w:bidi w:val="0"/>
              <w:spacing w:before="0" w:after="283"/>
              <w:jc w:val="left"/>
              <w:rPr/>
            </w:pPr>
            <w:r>
              <w:rPr/>
              <w:t> </w:t>
            </w:r>
          </w:p>
        </w:tc>
        <w:tc>
          <w:tcPr>
            <w:tcW w:w="999"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005" w:type="dxa"/>
            <w:gridSpan w:val="2"/>
            <w:tcBorders/>
            <w:shd w:fill="B6DEE8" w:val="clear"/>
            <w:vAlign w:val="center"/>
          </w:tcPr>
          <w:p>
            <w:pPr>
              <w:pStyle w:val="TableContents"/>
              <w:bidi w:val="0"/>
              <w:spacing w:before="0" w:after="283"/>
              <w:jc w:val="left"/>
              <w:rPr/>
            </w:pPr>
            <w:r>
              <w:rPr/>
              <w:t> </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005" w:type="dxa"/>
            <w:gridSpan w:val="2"/>
            <w:tcBorders/>
            <w:shd w:fill="B6DEE8" w:val="clear"/>
            <w:vAlign w:val="center"/>
          </w:tcPr>
          <w:p>
            <w:pPr>
              <w:pStyle w:val="TableContents"/>
              <w:bidi w:val="0"/>
              <w:spacing w:before="0" w:after="283"/>
              <w:jc w:val="left"/>
              <w:rPr/>
            </w:pPr>
            <w:r>
              <w:rPr/>
              <w:t> </w:t>
            </w:r>
          </w:p>
        </w:tc>
        <w:tc>
          <w:tcPr>
            <w:tcW w:w="316" w:type="dxa"/>
            <w:tcBorders/>
            <w:shd w:fill="B6DEE8"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fees, net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94,191</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Tips</w:t>
            </w:r>
          </w:p>
        </w:tc>
        <w:tc>
          <w:tcPr>
            <w:tcW w:w="146" w:type="dxa"/>
            <w:tcBorders/>
            <w:shd w:fill="B6DEE8" w:val="clear"/>
            <w:vAlign w:val="center"/>
          </w:tcPr>
          <w:p>
            <w:pPr>
              <w:pStyle w:val="TableContents"/>
              <w:bidi w:val="0"/>
              <w:spacing w:before="0" w:after="283"/>
              <w:jc w:val="left"/>
              <w:rPr/>
            </w:pPr>
            <w:r>
              <w:rPr/>
              <w:t> </w:t>
            </w:r>
          </w:p>
        </w:tc>
        <w:tc>
          <w:tcPr>
            <w:tcW w:w="212" w:type="dxa"/>
            <w:tcBorders/>
            <w:shd w:fill="B6DEE8" w:val="clear"/>
            <w:vAlign w:val="center"/>
          </w:tcPr>
          <w:p>
            <w:pPr>
              <w:pStyle w:val="TableContents"/>
              <w:bidi w:val="0"/>
              <w:spacing w:before="0" w:after="283"/>
              <w:jc w:val="left"/>
              <w:rPr/>
            </w:pPr>
            <w:r>
              <w:rPr/>
              <w:t> </w:t>
            </w:r>
          </w:p>
        </w:tc>
        <w:tc>
          <w:tcPr>
            <w:tcW w:w="78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30,987</w:t>
            </w:r>
          </w:p>
        </w:tc>
        <w:tc>
          <w:tcPr>
            <w:tcW w:w="147" w:type="dxa"/>
            <w:tcBorders/>
            <w:shd w:fill="B6DEE8" w:val="clear"/>
            <w:vAlign w:val="center"/>
          </w:tcPr>
          <w:p>
            <w:pPr>
              <w:pStyle w:val="TableContents"/>
              <w:bidi w:val="0"/>
              <w:spacing w:before="0" w:after="283"/>
              <w:jc w:val="left"/>
              <w:rPr/>
            </w:pPr>
            <w:r>
              <w:rPr/>
              <w:t> </w:t>
            </w:r>
          </w:p>
        </w:tc>
        <w:tc>
          <w:tcPr>
            <w:tcW w:w="147" w:type="dxa"/>
            <w:tcBorders/>
            <w:shd w:fill="B6DEE8" w:val="clear"/>
            <w:vAlign w:val="center"/>
          </w:tcPr>
          <w:p>
            <w:pPr>
              <w:pStyle w:val="TableContents"/>
              <w:bidi w:val="0"/>
              <w:spacing w:before="0" w:after="283"/>
              <w:jc w:val="left"/>
              <w:rPr/>
            </w:pPr>
            <w:r>
              <w:rPr/>
              <w:t> </w:t>
            </w:r>
          </w:p>
        </w:tc>
        <w:tc>
          <w:tcPr>
            <w:tcW w:w="212" w:type="dxa"/>
            <w:tcBorders/>
            <w:shd w:fill="B6DEE8" w:val="clear"/>
            <w:vAlign w:val="center"/>
          </w:tcPr>
          <w:p>
            <w:pPr>
              <w:pStyle w:val="TableContents"/>
              <w:bidi w:val="0"/>
              <w:spacing w:before="0" w:after="283"/>
              <w:jc w:val="left"/>
              <w:rPr/>
            </w:pPr>
            <w:r>
              <w:rPr/>
              <w:t> </w:t>
            </w:r>
          </w:p>
        </w:tc>
        <w:tc>
          <w:tcPr>
            <w:tcW w:w="78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26,899</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11,793</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B6DEE8" w:val="clear"/>
            <w:vAlign w:val="center"/>
          </w:tcPr>
          <w:p>
            <w:pPr>
              <w:pStyle w:val="TableContents"/>
              <w:bidi w:val="0"/>
              <w:spacing w:before="0" w:after="283"/>
              <w:jc w:val="left"/>
              <w:rPr/>
            </w:pPr>
            <w:r>
              <w:rPr/>
              <w:t> </w:t>
            </w:r>
          </w:p>
        </w:tc>
        <w:tc>
          <w:tcPr>
            <w:tcW w:w="212" w:type="dxa"/>
            <w:tcBorders/>
            <w:shd w:fill="B6DEE8" w:val="clear"/>
            <w:vAlign w:val="center"/>
          </w:tcPr>
          <w:p>
            <w:pPr>
              <w:pStyle w:val="TableContents"/>
              <w:bidi w:val="0"/>
              <w:spacing w:before="0" w:after="283"/>
              <w:jc w:val="left"/>
              <w:rPr/>
            </w:pPr>
            <w:r>
              <w:rPr/>
              <w:t> </w:t>
            </w:r>
          </w:p>
        </w:tc>
        <w:tc>
          <w:tcPr>
            <w:tcW w:w="78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7" w:type="dxa"/>
            <w:tcBorders/>
            <w:shd w:fill="B6DEE8" w:val="clear"/>
            <w:vAlign w:val="center"/>
          </w:tcPr>
          <w:p>
            <w:pPr>
              <w:pStyle w:val="TableContents"/>
              <w:bidi w:val="0"/>
              <w:spacing w:before="0" w:after="283"/>
              <w:jc w:val="left"/>
              <w:rPr/>
            </w:pPr>
            <w:r>
              <w:rPr/>
              <w:t> </w:t>
            </w:r>
          </w:p>
        </w:tc>
        <w:tc>
          <w:tcPr>
            <w:tcW w:w="147" w:type="dxa"/>
            <w:tcBorders/>
            <w:shd w:fill="B6DEE8" w:val="clear"/>
            <w:vAlign w:val="center"/>
          </w:tcPr>
          <w:p>
            <w:pPr>
              <w:pStyle w:val="TableContents"/>
              <w:bidi w:val="0"/>
              <w:spacing w:before="0" w:after="283"/>
              <w:jc w:val="left"/>
              <w:rPr/>
            </w:pPr>
            <w:r>
              <w:rPr/>
              <w:t> </w:t>
            </w:r>
          </w:p>
        </w:tc>
        <w:tc>
          <w:tcPr>
            <w:tcW w:w="212" w:type="dxa"/>
            <w:tcBorders/>
            <w:shd w:fill="B6DEE8" w:val="clear"/>
            <w:vAlign w:val="center"/>
          </w:tcPr>
          <w:p>
            <w:pPr>
              <w:pStyle w:val="TableContents"/>
              <w:bidi w:val="0"/>
              <w:spacing w:before="0" w:after="283"/>
              <w:jc w:val="left"/>
              <w:rPr/>
            </w:pPr>
            <w:r>
              <w:rPr/>
              <w:t> </w:t>
            </w:r>
          </w:p>
        </w:tc>
        <w:tc>
          <w:tcPr>
            <w:tcW w:w="78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vAlign w:val="center"/>
          </w:tcPr>
          <w:p>
            <w:pPr>
              <w:pStyle w:val="TableContents"/>
              <w:bidi w:val="0"/>
              <w:spacing w:before="0" w:after="283"/>
              <w:jc w:val="left"/>
              <w:rPr/>
            </w:pPr>
            <w:r>
              <w:rPr/>
              <w:t> </w:t>
            </w:r>
          </w:p>
        </w:tc>
        <w:tc>
          <w:tcPr>
            <w:tcW w:w="21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153,747</w:t>
            </w:r>
          </w:p>
        </w:tc>
        <w:tc>
          <w:tcPr>
            <w:tcW w:w="14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7" w:type="dxa"/>
            <w:tcBorders/>
            <w:shd w:fill="B6DEE8" w:val="clear"/>
            <w:vAlign w:val="center"/>
          </w:tcPr>
          <w:p>
            <w:pPr>
              <w:pStyle w:val="TableContents"/>
              <w:bidi w:val="0"/>
              <w:spacing w:before="0" w:after="283"/>
              <w:jc w:val="left"/>
              <w:rPr/>
            </w:pPr>
            <w:r>
              <w:rPr/>
              <w:t> </w:t>
            </w:r>
          </w:p>
        </w:tc>
        <w:tc>
          <w:tcPr>
            <w:tcW w:w="21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120,163</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33,584</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Service based revenue, net—</w:t>
      </w:r>
      <w:r>
        <w:rPr>
          <w:rFonts w:ascii="Times New Roman" w:hAnsi="Times New Roman"/>
          <w:color w:val="000000"/>
          <w:sz w:val="20"/>
        </w:rPr>
        <w:t xml:space="preserv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Processing fees,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Processing fees, net of processor costs associated with advance disbursements, for the six months ended June 30, 2024 were $94.2 million, an increase of $25.2 million, or 37%, from $69.0 million for the six months ended June 30, 2023. The increase was primarily attributable to a 16% increase in monthly transacting Members period over period, increases in total advance volume from approximately $1,665.3 million to approximately $2,236.7 million period over period and average advance amounts that increased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$155 to $163 as of the six months ended June 30, 2023 and 2024, respectively. The average processing fees Members paid to expedite these advances increased slightly due to the aforementioned factors above while the percentage of Members that chose to pay a processing fee to expedite an advance remained flat for the six months ended June 30, 2024 as compared to the six months ended June 30, 2023, respectively. Prospectively, we expect processing fees to increase as expedited advance volume and average expedited advance sizes increase, however, processing fees have not always trended ratably. Prior to the implementation of percentage-based processing fees in late 2023, processing fees did not scale ratably with expedited advance disbursement sizes.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Tips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Tips for the six months ended June 30, 2024 were $31.0 million, an increase of $4.1 million, or 15%, from $26.9 million for the six months ended June 30, 2023. The increase was primarily attributable to higher tips from Members relating to increases in total advance volume from approximately $1,665.3 million to approximately $2,236.7 million period over period and average advance amounts increased from $155 to $163 for the six months ended June 30, 2023 and 2024, respectively. The average tip Members chose to leave increased slightly while the percentage of Members that chose to leave a tip decreased modestly for the six months ended June 30, 2024 as compared to the six months ended June 30, 2023, respectively. Tip amounts may not always trend ratably as tips can vary depending on the total amount of the advance, the amount of tips Members choose to leave and the percentage of Members who leave a tip.</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Subscriptions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Subscriptions for the six months ended June 30, 2024 were $11.8 million, an increase of $0.8 million, or 7%, from $11.0 million for the six months ended June 30, 2023. The increase was primarily attributable to an increase in paying Members on our platform.</w:t>
      </w:r>
    </w:p>
    <w:p>
      <w:pPr>
        <w:pStyle w:val="TextBody"/>
        <w:bidi w:val="0"/>
        <w:spacing w:before="360" w:after="283"/>
        <w:jc w:val="left"/>
        <w:rPr>
          <w:rFonts w:ascii="Times New Roman" w:hAnsi="Times New Roman"/>
          <w:sz w:val="20"/>
        </w:rPr>
      </w:pPr>
      <w:r>
        <w:rPr>
          <w:rFonts w:ascii="Times New Roman" w:hAnsi="Times New Roman"/>
          <w:i/>
          <w:color w:val="000000"/>
          <w:sz w:val="20"/>
        </w:rPr>
        <w:t>Transaction based revenue, net</w:t>
      </w:r>
      <w:r>
        <w:rPr>
          <w:rFonts w:ascii="Times New Roman" w:hAnsi="Times New Roman"/>
          <w:color w:val="000000"/>
          <w:sz w:val="20"/>
        </w:rPr>
        <w:t xml:space="preserve">—Transaction based revenue, net for the six months ended June 30, 2024 were $16.5 million, an increase of $3.9 million, or 31%, from $12.6 million for the six months ended June 30, 2024. The increase was primarily attributable to interchange revenue earned from the growth in Members engaging with our Checking Product and card spend of $782.6 million for the six months ended June 30, 2024, an increase of 32%, from $594.8 million for the six months ended June 30, 2023 and increases in fees earned from Members' funding and withdrawal-related transactions, offset by $0.8 million in interest due to Members during the six months ended June 30, 2024.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Operating expenses</w:t>
      </w:r>
    </w:p>
    <w:p>
      <w:pPr>
        <w:pStyle w:val="TextBody"/>
        <w:bidi w:val="0"/>
        <w:jc w:val="left"/>
        <w:rPr/>
      </w:pPr>
      <w:r>
        <w:rPr/>
        <w:t> </w:t>
      </w:r>
    </w:p>
    <w:tbl>
      <w:tblPr>
        <w:tblW w:w="8609" w:type="dxa"/>
        <w:jc w:val="left"/>
        <w:tblInd w:w="0" w:type="dxa"/>
        <w:tblLayout w:type="fixed"/>
        <w:tblCellMar>
          <w:top w:w="28" w:type="dxa"/>
          <w:left w:w="28" w:type="dxa"/>
          <w:bottom w:w="28" w:type="dxa"/>
          <w:right w:w="28" w:type="dxa"/>
        </w:tblCellMar>
      </w:tblPr>
      <w:tblGrid>
        <w:gridCol w:w="3241"/>
        <w:gridCol w:w="146"/>
        <w:gridCol w:w="212"/>
        <w:gridCol w:w="787"/>
        <w:gridCol w:w="147"/>
        <w:gridCol w:w="147"/>
        <w:gridCol w:w="212"/>
        <w:gridCol w:w="787"/>
        <w:gridCol w:w="146"/>
        <w:gridCol w:w="146"/>
        <w:gridCol w:w="224"/>
        <w:gridCol w:w="781"/>
        <w:gridCol w:w="166"/>
        <w:gridCol w:w="146"/>
        <w:gridCol w:w="279"/>
        <w:gridCol w:w="726"/>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B6DEE8" w:val="clear"/>
            <w:vAlign w:val="center"/>
          </w:tcPr>
          <w:p>
            <w:pPr>
              <w:pStyle w:val="TableContents"/>
              <w:bidi w:val="0"/>
              <w:spacing w:before="0" w:after="283"/>
              <w:jc w:val="left"/>
              <w:rPr/>
            </w:pPr>
            <w:r>
              <w:rPr/>
              <w:t> </w:t>
            </w:r>
          </w:p>
        </w:tc>
        <w:tc>
          <w:tcPr>
            <w:tcW w:w="21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24,308</w:t>
            </w:r>
          </w:p>
        </w:tc>
        <w:tc>
          <w:tcPr>
            <w:tcW w:w="147" w:type="dxa"/>
            <w:tcBorders/>
            <w:shd w:fill="B6DEE8" w:val="clear"/>
            <w:vAlign w:val="center"/>
          </w:tcPr>
          <w:p>
            <w:pPr>
              <w:pStyle w:val="TableContents"/>
              <w:bidi w:val="0"/>
              <w:spacing w:before="0" w:after="283"/>
              <w:jc w:val="left"/>
              <w:rPr/>
            </w:pPr>
            <w:r>
              <w:rPr/>
              <w:t> </w:t>
            </w:r>
          </w:p>
        </w:tc>
        <w:tc>
          <w:tcPr>
            <w:tcW w:w="147" w:type="dxa"/>
            <w:tcBorders/>
            <w:shd w:fill="B6DEE8" w:val="clear"/>
            <w:vAlign w:val="center"/>
          </w:tcPr>
          <w:p>
            <w:pPr>
              <w:pStyle w:val="TableContents"/>
              <w:bidi w:val="0"/>
              <w:spacing w:before="0" w:after="283"/>
              <w:jc w:val="left"/>
              <w:rPr/>
            </w:pPr>
            <w:r>
              <w:rPr/>
              <w:t> </w:t>
            </w:r>
          </w:p>
        </w:tc>
        <w:tc>
          <w:tcPr>
            <w:tcW w:w="21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4"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Processing and servicing costs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15,517</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and marketing</w:t>
            </w:r>
          </w:p>
        </w:tc>
        <w:tc>
          <w:tcPr>
            <w:tcW w:w="146" w:type="dxa"/>
            <w:tcBorders/>
            <w:shd w:fill="B6DEE8" w:val="clear"/>
            <w:vAlign w:val="center"/>
          </w:tcPr>
          <w:p>
            <w:pPr>
              <w:pStyle w:val="TableContents"/>
              <w:bidi w:val="0"/>
              <w:spacing w:before="0" w:after="283"/>
              <w:jc w:val="left"/>
              <w:rPr/>
            </w:pPr>
            <w:r>
              <w:rPr/>
              <w:t> </w:t>
            </w:r>
          </w:p>
        </w:tc>
        <w:tc>
          <w:tcPr>
            <w:tcW w:w="212" w:type="dxa"/>
            <w:tcBorders/>
            <w:shd w:fill="B6DEE8" w:val="clear"/>
            <w:vAlign w:val="center"/>
          </w:tcPr>
          <w:p>
            <w:pPr>
              <w:pStyle w:val="TableContents"/>
              <w:bidi w:val="0"/>
              <w:spacing w:before="0" w:after="283"/>
              <w:jc w:val="left"/>
              <w:rPr/>
            </w:pPr>
            <w:r>
              <w:rPr/>
              <w:t> </w:t>
            </w:r>
          </w:p>
        </w:tc>
        <w:tc>
          <w:tcPr>
            <w:tcW w:w="78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147" w:type="dxa"/>
            <w:tcBorders/>
            <w:shd w:fill="B6DEE8" w:val="clear"/>
            <w:vAlign w:val="center"/>
          </w:tcPr>
          <w:p>
            <w:pPr>
              <w:pStyle w:val="TableContents"/>
              <w:bidi w:val="0"/>
              <w:spacing w:before="0" w:after="283"/>
              <w:jc w:val="left"/>
              <w:rPr/>
            </w:pPr>
            <w:r>
              <w:rPr/>
              <w:t> </w:t>
            </w:r>
          </w:p>
        </w:tc>
        <w:tc>
          <w:tcPr>
            <w:tcW w:w="147" w:type="dxa"/>
            <w:tcBorders/>
            <w:shd w:fill="B6DEE8" w:val="clear"/>
            <w:vAlign w:val="center"/>
          </w:tcPr>
          <w:p>
            <w:pPr>
              <w:pStyle w:val="TableContents"/>
              <w:bidi w:val="0"/>
              <w:spacing w:before="0" w:after="283"/>
              <w:jc w:val="left"/>
              <w:rPr/>
            </w:pPr>
            <w:r>
              <w:rPr/>
              <w:t> </w:t>
            </w:r>
          </w:p>
        </w:tc>
        <w:tc>
          <w:tcPr>
            <w:tcW w:w="212" w:type="dxa"/>
            <w:tcBorders/>
            <w:shd w:fill="B6DEE8" w:val="clear"/>
            <w:vAlign w:val="center"/>
          </w:tcPr>
          <w:p>
            <w:pPr>
              <w:pStyle w:val="TableContents"/>
              <w:bidi w:val="0"/>
              <w:spacing w:before="0" w:after="283"/>
              <w:jc w:val="left"/>
              <w:rPr/>
            </w:pPr>
            <w:r>
              <w:rPr/>
              <w:t> </w:t>
            </w:r>
          </w:p>
        </w:tc>
        <w:tc>
          <w:tcPr>
            <w:tcW w:w="78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24,456</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4"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49,067</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B6DEE8" w:val="clear"/>
            <w:vAlign w:val="center"/>
          </w:tcPr>
          <w:p>
            <w:pPr>
              <w:pStyle w:val="TableContents"/>
              <w:bidi w:val="0"/>
              <w:spacing w:before="0" w:after="283"/>
              <w:jc w:val="left"/>
              <w:rPr/>
            </w:pPr>
            <w:r>
              <w:rPr/>
              <w:t> </w:t>
            </w:r>
          </w:p>
        </w:tc>
        <w:tc>
          <w:tcPr>
            <w:tcW w:w="21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33,947</w:t>
            </w:r>
          </w:p>
        </w:tc>
        <w:tc>
          <w:tcPr>
            <w:tcW w:w="14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7" w:type="dxa"/>
            <w:tcBorders/>
            <w:shd w:fill="B6DEE8" w:val="clear"/>
            <w:vAlign w:val="center"/>
          </w:tcPr>
          <w:p>
            <w:pPr>
              <w:pStyle w:val="TableContents"/>
              <w:bidi w:val="0"/>
              <w:spacing w:before="0" w:after="283"/>
              <w:jc w:val="left"/>
              <w:rPr/>
            </w:pPr>
            <w:r>
              <w:rPr/>
              <w:t> </w:t>
            </w:r>
          </w:p>
        </w:tc>
        <w:tc>
          <w:tcPr>
            <w:tcW w:w="21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38,579</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142,679</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153,562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Provision for credit losses</w:t>
      </w:r>
      <w:r>
        <w:rPr>
          <w:rFonts w:ascii="Times New Roman" w:hAnsi="Times New Roman"/>
          <w:color w:val="000000"/>
          <w:sz w:val="20"/>
        </w:rPr>
        <w:t>—The provision for credit losses totaled $24.3 million for the six months ended June 30, 2024, compared to $27.9 million for the six months ended June 30, 2023. The decrease of $3.6 million, or 13%, was primarily attributable to a decrease in provision expense of $8.5 million related to Member advances aged over 120 days and those that have become uncollectible based on information available to us, offset by an increase in provision expense of $4.9 million related to Member advances aged 120 days and under.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provision expense of $8.5 million related to Member advances aged over 120 days and those which have become uncollectible based on information available to us, period over period, was attributed to improved collections performance due primarily to underwriting modifications related to advance eligibility requirements, advance stability, new Member conversion and risk detection, despite increases in transacting Members, average advance amounts from $155 to $163 and total advance volume from $1,665.3 million to $2,236.7 million for the six months ended June 30, 2023 and 2024, respectively. All impaired advances deemed uncollectible are subsequently written-off and are a direct reduction to the allowance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provision expense of $4.9 million related to Member advances aged 120 days and under was primarily attributed to a 34.3% increase in advance volume during the six months ended June 30, 2024 compared to the six months ended June 30, 2023 with 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corresponding increase in amounts outstanding as of the six months ended June 30, 2024 as compared to June 30, 2023. This resulted in an increase to the allowance for credit losses and corresponding increase in provision expense during the six months ended June 30, 2024 as compared to June 30, 2023. We anticipate volatility in Member advances outstanding each period as they are directly correlated with the timing and volume of Member advance activity during the last 120 days prior to the end of the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Historical loss and collections rates utilized in the calculation of the provision for credit losses decreased slightly when compared to historical rates due to continued improvement in historical collections performance. Any changes to our historical loss and collections experience directly affect the historical loss rates utilized in the calculation of the allowance for uncollectible advances. The changes in the allowance for credit losses, period over period, have a direct impact on the provision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information on the aging of Member advances and a roll-forward of the allowance for credit losses, refer to the tables in Note 5 Member Advances, Net in the accompanying consolidated financial statements of Dave included in this report.</w:t>
      </w:r>
    </w:p>
    <w:p>
      <w:pPr>
        <w:pStyle w:val="TextBody"/>
        <w:bidi w:val="0"/>
        <w:spacing w:before="240" w:after="283"/>
        <w:jc w:val="left"/>
        <w:rPr>
          <w:rFonts w:ascii="Times New Roman" w:hAnsi="Times New Roman"/>
          <w:sz w:val="20"/>
        </w:rPr>
      </w:pPr>
      <w:r>
        <w:rPr>
          <w:rFonts w:ascii="Times New Roman" w:hAnsi="Times New Roman"/>
          <w:i/>
          <w:color w:val="000000"/>
          <w:sz w:val="20"/>
        </w:rPr>
        <w:t>Processing and service costs</w:t>
      </w:r>
      <w:r>
        <w:rPr>
          <w:rFonts w:ascii="Times New Roman" w:hAnsi="Times New Roman"/>
          <w:color w:val="000000"/>
          <w:sz w:val="20"/>
        </w:rPr>
        <w:t>—Processing and servicing costs totaled $15.5 million for the six months ended June 30, 2024, compared to $14.4 million for the six months ended June 30, 2023. The increase of $1.2 million, or 8%, was primarily driven by increases in advance volume from $1,665.3 million to $2,236.7 million, offset by, technology enhancements made to our ExtraCash payments structure along with discounts and cost savings due to price reductions from our processors.</w:t>
      </w:r>
    </w:p>
    <w:p>
      <w:pPr>
        <w:pStyle w:val="TextBody"/>
        <w:bidi w:val="0"/>
        <w:spacing w:before="240" w:after="283"/>
        <w:jc w:val="left"/>
        <w:rPr>
          <w:rFonts w:ascii="Times New Roman" w:hAnsi="Times New Roman"/>
          <w:sz w:val="20"/>
        </w:rPr>
      </w:pPr>
      <w:r>
        <w:rPr>
          <w:rFonts w:ascii="Times New Roman" w:hAnsi="Times New Roman"/>
          <w:i/>
          <w:color w:val="000000"/>
          <w:sz w:val="20"/>
        </w:rPr>
        <w:t>Advertising and marketing</w:t>
      </w:r>
      <w:r>
        <w:rPr>
          <w:rFonts w:ascii="Times New Roman" w:hAnsi="Times New Roman"/>
          <w:color w:val="000000"/>
          <w:sz w:val="20"/>
        </w:rPr>
        <w:t>—Advertising and marketing expenses totaled $19.8 million for the six months ended June 30, 2024, compared to $24.5 million for the six months ended June 30, 2023. The decrease of $4.7 million, or 19%, was primarily attributable to a more targeted, conversion-focused spend approach on our advertising campaigns, production and promotions across various social media platforms and television. Additionally, channel and creative optimization, long-tail marketing investments made during the second quarter of 2023 and ongoing improvements to our measurement and reporting infrastructure allowed us to invest more intelligently across our marketing mix.</w:t>
      </w:r>
    </w:p>
    <w:p>
      <w:pPr>
        <w:pStyle w:val="TextBody"/>
        <w:bidi w:val="0"/>
        <w:spacing w:before="240" w:after="283"/>
        <w:jc w:val="left"/>
        <w:rPr>
          <w:rFonts w:ascii="Times New Roman" w:hAnsi="Times New Roman"/>
          <w:sz w:val="20"/>
        </w:rPr>
      </w:pPr>
      <w:r>
        <w:rPr>
          <w:rFonts w:ascii="Times New Roman" w:hAnsi="Times New Roman"/>
          <w:i/>
          <w:color w:val="000000"/>
          <w:sz w:val="20"/>
        </w:rPr>
        <w:t>Compensation and benefits</w:t>
      </w:r>
      <w:r>
        <w:rPr>
          <w:rFonts w:ascii="Times New Roman" w:hAnsi="Times New Roman"/>
          <w:color w:val="000000"/>
          <w:sz w:val="20"/>
        </w:rPr>
        <w:t>—Compensation and benefits expenses totaled $49.1 million for the six months ended June 30, 2024, compared to $48.3 million for the six months ended June 30, 2023. The increase of $0.8 million, or 2.0%,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payroll and related costs of $1.1 million, primarily related to performance bonuses;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stock-based compensation of $0.4 million, primarily due to additional stock-based compensation expense related to a modification of price targets in the market vesting conditions for unvested RSUs and larger amounts of restricted stock units granted during the six months ended June 30, 2024 compared to the six months ended June 30, 2023, offset by a reduction in stock-based compensation expense related to stock options granted in prior years that have fully vested;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contractor and consulting fees of $0.7 million due to the reduction in external support for IT security, finance, marketing, design and customer service resources.</w:t>
      </w:r>
    </w:p>
    <w:p>
      <w:pPr>
        <w:pStyle w:val="TextBody"/>
        <w:bidi w:val="0"/>
        <w:spacing w:before="240" w:after="283"/>
        <w:jc w:val="left"/>
        <w:rPr>
          <w:rFonts w:ascii="Times New Roman" w:hAnsi="Times New Roman"/>
          <w:sz w:val="20"/>
        </w:rPr>
      </w:pPr>
      <w:r>
        <w:rPr>
          <w:rFonts w:ascii="Times New Roman" w:hAnsi="Times New Roman"/>
          <w:i/>
          <w:color w:val="000000"/>
          <w:sz w:val="20"/>
        </w:rPr>
        <w:t>Other operating expenses</w:t>
      </w:r>
      <w:r>
        <w:rPr>
          <w:rFonts w:ascii="Times New Roman" w:hAnsi="Times New Roman"/>
          <w:color w:val="000000"/>
          <w:sz w:val="20"/>
        </w:rPr>
        <w:t>—Other operating expenses totaled $33.9 million for the six months ended June 30, 2024, compared to $38.6 million for the six months ended June 30, 2023. The decrease of $4.7 million, or 12%,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legal expenses of $4.4 million, primarily due to lower settlement costs and outside counsel services during the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charitable contribution expenses of $1.3 million, primarily due to amounts pledged to charitable meal donations related to Members' tips;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various general and administrative expenses of $0.9 million, primarily due to cost cutting measures enacted across the company;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depreciation and amortization of $1.0 million, primarily due to increased amortization of other internally capitalized project costs and depreciation related to leasehold improvements and equipment purchases;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expenses related to our Checking Product of $0.8 million, primarily attributable to processing fees, card fees and fraud related costs associated with the growth in Members and the number of transactions processed.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Other (income) expense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46"/>
        <w:gridCol w:w="146"/>
        <w:gridCol w:w="228"/>
        <w:gridCol w:w="800"/>
        <w:gridCol w:w="180"/>
        <w:gridCol w:w="158"/>
        <w:gridCol w:w="228"/>
        <w:gridCol w:w="685"/>
        <w:gridCol w:w="166"/>
        <w:gridCol w:w="146"/>
        <w:gridCol w:w="223"/>
        <w:gridCol w:w="778"/>
        <w:gridCol w:w="166"/>
        <w:gridCol w:w="146"/>
        <w:gridCol w:w="196"/>
        <w:gridCol w:w="792"/>
        <w:gridCol w:w="32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9"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2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B6DEE8" w:val="clear"/>
            <w:vAlign w:val="center"/>
          </w:tcPr>
          <w:p>
            <w:pPr>
              <w:pStyle w:val="TableContents"/>
              <w:bidi w:val="0"/>
              <w:spacing w:before="0" w:after="283"/>
              <w:jc w:val="left"/>
              <w:rPr/>
            </w:pPr>
            <w:r>
              <w:rPr/>
              <w:t> </w:t>
            </w:r>
          </w:p>
        </w:tc>
        <w:tc>
          <w:tcPr>
            <w:tcW w:w="22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80"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B6DEE8" w:val="clear"/>
            <w:vAlign w:val="center"/>
          </w:tcPr>
          <w:p>
            <w:pPr>
              <w:pStyle w:val="TableContents"/>
              <w:bidi w:val="0"/>
              <w:spacing w:before="0" w:after="283"/>
              <w:jc w:val="left"/>
              <w:rPr/>
            </w:pPr>
            <w:r>
              <w:rPr/>
              <w:t> </w:t>
            </w:r>
          </w:p>
        </w:tc>
        <w:tc>
          <w:tcPr>
            <w:tcW w:w="22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96" w:type="dxa"/>
            <w:tcBorders/>
            <w:shd w:fill="B6DEE8" w:val="clear"/>
            <w:vAlign w:val="center"/>
          </w:tcPr>
          <w:p>
            <w:pPr>
              <w:pStyle w:val="TableContents"/>
              <w:bidi w:val="0"/>
              <w:spacing w:before="0" w:after="283"/>
              <w:jc w:val="left"/>
              <w:rPr/>
            </w:pPr>
            <w:r>
              <w:rPr/>
              <w:t> </w:t>
            </w:r>
          </w:p>
        </w:tc>
        <w:tc>
          <w:tcPr>
            <w:tcW w:w="79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2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convertible debt</w:t>
            </w:r>
          </w:p>
        </w:tc>
        <w:tc>
          <w:tcPr>
            <w:tcW w:w="146" w:type="dxa"/>
            <w:tcBorders/>
            <w:shd w:fill="B6DEE8" w:val="clear"/>
            <w:vAlign w:val="center"/>
          </w:tcPr>
          <w:p>
            <w:pPr>
              <w:pStyle w:val="TableContents"/>
              <w:bidi w:val="0"/>
              <w:spacing w:before="0" w:after="283"/>
              <w:jc w:val="left"/>
              <w:rPr/>
            </w:pPr>
            <w:r>
              <w:rPr/>
              <w:t> </w:t>
            </w:r>
          </w:p>
        </w:tc>
        <w:tc>
          <w:tcPr>
            <w:tcW w:w="228" w:type="dxa"/>
            <w:tcBorders/>
            <w:shd w:fill="B6DEE8" w:val="clear"/>
            <w:vAlign w:val="center"/>
          </w:tcPr>
          <w:p>
            <w:pPr>
              <w:pStyle w:val="TableContents"/>
              <w:bidi w:val="0"/>
              <w:spacing w:before="0" w:after="283"/>
              <w:jc w:val="left"/>
              <w:rPr/>
            </w:pPr>
            <w:r>
              <w:rPr/>
              <w:t> </w:t>
            </w:r>
          </w:p>
        </w:tc>
        <w:tc>
          <w:tcPr>
            <w:tcW w:w="80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180"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B6DEE8" w:val="clear"/>
            <w:vAlign w:val="center"/>
          </w:tcPr>
          <w:p>
            <w:pPr>
              <w:pStyle w:val="TableContents"/>
              <w:bidi w:val="0"/>
              <w:spacing w:before="0" w:after="283"/>
              <w:jc w:val="left"/>
              <w:rPr/>
            </w:pPr>
            <w:r>
              <w:rPr/>
              <w:t> </w:t>
            </w:r>
          </w:p>
        </w:tc>
        <w:tc>
          <w:tcPr>
            <w:tcW w:w="228" w:type="dxa"/>
            <w:tcBorders/>
            <w:shd w:fill="B6DEE8" w:val="clear"/>
            <w:vAlign w:val="center"/>
          </w:tcPr>
          <w:p>
            <w:pPr>
              <w:pStyle w:val="TableContents"/>
              <w:bidi w:val="0"/>
              <w:spacing w:before="0" w:after="283"/>
              <w:jc w:val="left"/>
              <w:rPr/>
            </w:pPr>
            <w:r>
              <w:rPr/>
              <w:t> </w:t>
            </w:r>
          </w:p>
        </w:tc>
        <w:tc>
          <w:tcPr>
            <w:tcW w:w="68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pPr>
            <w:r>
              <w:rPr/>
              <w:t> </w:t>
            </w:r>
          </w:p>
        </w:tc>
        <w:tc>
          <w:tcPr>
            <w:tcW w:w="77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196" w:type="dxa"/>
            <w:tcBorders/>
            <w:shd w:fill="B6DEE8" w:val="clear"/>
            <w:vAlign w:val="center"/>
          </w:tcPr>
          <w:p>
            <w:pPr>
              <w:pStyle w:val="TableContents"/>
              <w:bidi w:val="0"/>
              <w:spacing w:before="0" w:after="283"/>
              <w:jc w:val="left"/>
              <w:rPr/>
            </w:pPr>
            <w:r>
              <w:rPr/>
              <w:t> </w:t>
            </w:r>
          </w:p>
        </w:tc>
        <w:tc>
          <w:tcPr>
            <w:tcW w:w="79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B6DEE8" w:val="clear"/>
            <w:vAlign w:val="center"/>
          </w:tcPr>
          <w:p>
            <w:pPr>
              <w:pStyle w:val="TableContents"/>
              <w:bidi w:val="0"/>
              <w:spacing w:before="0" w:after="283"/>
              <w:jc w:val="left"/>
              <w:rPr/>
            </w:pPr>
            <w:r>
              <w:rPr/>
              <w:t> </w:t>
            </w:r>
          </w:p>
        </w:tc>
        <w:tc>
          <w:tcPr>
            <w:tcW w:w="22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8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8" w:type="dxa"/>
            <w:tcBorders/>
            <w:shd w:fill="B6DEE8" w:val="clear"/>
            <w:vAlign w:val="center"/>
          </w:tcPr>
          <w:p>
            <w:pPr>
              <w:pStyle w:val="TableContents"/>
              <w:bidi w:val="0"/>
              <w:spacing w:before="0" w:after="283"/>
              <w:jc w:val="left"/>
              <w:rPr/>
            </w:pPr>
            <w:r>
              <w:rPr/>
              <w:t> </w:t>
            </w:r>
          </w:p>
        </w:tc>
        <w:tc>
          <w:tcPr>
            <w:tcW w:w="22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96" w:type="dxa"/>
            <w:tcBorders/>
            <w:shd w:fill="B6DEE8" w:val="clear"/>
            <w:vAlign w:val="center"/>
          </w:tcPr>
          <w:p>
            <w:pPr>
              <w:pStyle w:val="TableContents"/>
              <w:bidi w:val="0"/>
              <w:spacing w:before="0" w:after="283"/>
              <w:jc w:val="left"/>
              <w:rPr/>
            </w:pPr>
            <w:r>
              <w:rPr/>
              <w:t> </w:t>
            </w:r>
          </w:p>
        </w:tc>
        <w:tc>
          <w:tcPr>
            <w:tcW w:w="79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32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(30,954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Interest income totaled $2.0 million for the six months ended June 30, 2024, compared to $2.7 million for six months ended June 30, 2023. The decrease of $0.6 million, or 24%, was primarily attributable to lower sales of investments during the quarter ended June 30, 2024 as compared to the quarter ended June 30, 2023.</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Interest expense totaled $4.2 million for the six months ended June 30, 2024, compared to $5.9 million for the six months ended June 30, 2023. The decrease of $1.7 million, or 29%, was primarily attributable to a reduction of interest expense related to the repurchase of the convertible note with FTX Ventures Ltd. in January 2024.</w:t>
      </w:r>
    </w:p>
    <w:p>
      <w:pPr>
        <w:pStyle w:val="TextBody"/>
        <w:bidi w:val="0"/>
        <w:spacing w:before="240" w:after="283"/>
        <w:jc w:val="left"/>
        <w:rPr>
          <w:rFonts w:ascii="Times New Roman" w:hAnsi="Times New Roman"/>
          <w:sz w:val="20"/>
        </w:rPr>
      </w:pPr>
      <w:r>
        <w:rPr>
          <w:rFonts w:ascii="Times New Roman" w:hAnsi="Times New Roman"/>
          <w:i/>
          <w:color w:val="000000"/>
          <w:sz w:val="20"/>
        </w:rPr>
        <w:t>Gain on extinguishment of convertible debt</w:t>
      </w:r>
      <w:r>
        <w:rPr>
          <w:rFonts w:ascii="Times New Roman" w:hAnsi="Times New Roman"/>
          <w:color w:val="000000"/>
          <w:sz w:val="20"/>
        </w:rPr>
        <w:t xml:space="preserve">— The gain on extinguishment of convertible debt totaled $33.4 million for the six months ended June 30, 2024, compared to $0 for the six months ended June 30, 2023. The increase was primarily attributable to the repurchase of the $105.7 million outstanding balance of the convertible note with FTX Ventures Ltd. for $71.0 million during January of 2024. The gain was reduced by unamortized debt issuance costs of $0.03 million at the extinguishment date and third-party costs totaling $1.3 million in conjunction with the settlement of the convertible note.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Changes in fair value of earnout liability</w:t>
      </w:r>
      <w:r>
        <w:rPr>
          <w:rFonts w:ascii="Times New Roman" w:hAnsi="Times New Roman"/>
          <w:color w:val="000000"/>
          <w:sz w:val="20"/>
        </w:rPr>
        <w:t>—Changes in fair value of earnout liabilities totaled an expense of $0.1 million for the six months ended June 30, 2024, compared to a gain of $0.04 million for the six months ended June 30, 2023. The increase of $0.2 million, or 459%, was primarily attributable to fair value adjustments associated with our earnout shares liability due to increases in our underlying Class A Common Stock price as of the six months ended June 30, 2024 when compared to the six months ended June 30, 2023.</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fair value of warrant liability</w:t>
      </w:r>
      <w:r>
        <w:rPr>
          <w:rFonts w:ascii="Times New Roman" w:hAnsi="Times New Roman"/>
          <w:color w:val="000000"/>
          <w:sz w:val="20"/>
        </w:rPr>
        <w:t>—Changes in fair value of warrant liability totaled an expense of $0.2 million for the six months ended June 30, 2024, compared to a gain of $0.02 million for the six months ended June 30, 2023. The increase of $0.2 million, or 1039%, was primarily attributable to fair value adjustments associated with our public and private warrant liabilities due to increases in our underlying Class A Common Stock price for the six months ended June 30, 2024 as compared to the six months ended June 30,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 for income taxes</w:t>
      </w:r>
    </w:p>
    <w:p>
      <w:pPr>
        <w:pStyle w:val="TextBody"/>
        <w:bidi w:val="0"/>
        <w:jc w:val="left"/>
        <w:rPr/>
      </w:pPr>
      <w:r>
        <w:rPr/>
        <w:t> </w:t>
      </w:r>
    </w:p>
    <w:tbl>
      <w:tblPr>
        <w:tblW w:w="8590" w:type="dxa"/>
        <w:jc w:val="left"/>
        <w:tblInd w:w="0" w:type="dxa"/>
        <w:tblLayout w:type="fixed"/>
        <w:tblCellMar>
          <w:top w:w="28" w:type="dxa"/>
          <w:left w:w="28" w:type="dxa"/>
          <w:bottom w:w="28" w:type="dxa"/>
          <w:right w:w="28" w:type="dxa"/>
        </w:tblCellMar>
      </w:tblPr>
      <w:tblGrid>
        <w:gridCol w:w="3241"/>
        <w:gridCol w:w="146"/>
        <w:gridCol w:w="302"/>
        <w:gridCol w:w="818"/>
        <w:gridCol w:w="209"/>
        <w:gridCol w:w="209"/>
        <w:gridCol w:w="302"/>
        <w:gridCol w:w="453"/>
        <w:gridCol w:w="146"/>
        <w:gridCol w:w="146"/>
        <w:gridCol w:w="271"/>
        <w:gridCol w:w="734"/>
        <w:gridCol w:w="146"/>
        <w:gridCol w:w="146"/>
        <w:gridCol w:w="218"/>
        <w:gridCol w:w="787"/>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B6DEE8" w:val="clear"/>
            <w:vAlign w:val="center"/>
          </w:tcPr>
          <w:p>
            <w:pPr>
              <w:pStyle w:val="TableContents"/>
              <w:bidi w:val="0"/>
              <w:spacing w:before="0" w:after="283"/>
              <w:jc w:val="left"/>
              <w:rPr/>
            </w:pPr>
            <w:r>
              <w:rPr/>
              <w:t> </w:t>
            </w:r>
          </w:p>
        </w:tc>
        <w:tc>
          <w:tcPr>
            <w:tcW w:w="30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20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09" w:type="dxa"/>
            <w:tcBorders/>
            <w:shd w:fill="B6DEE8" w:val="clear"/>
            <w:vAlign w:val="center"/>
          </w:tcPr>
          <w:p>
            <w:pPr>
              <w:pStyle w:val="TableContents"/>
              <w:bidi w:val="0"/>
              <w:spacing w:before="0" w:after="283"/>
              <w:jc w:val="left"/>
              <w:rPr/>
            </w:pPr>
            <w:r>
              <w:rPr/>
              <w:t> </w:t>
            </w:r>
          </w:p>
        </w:tc>
        <w:tc>
          <w:tcPr>
            <w:tcW w:w="30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8" w:type="dxa"/>
            <w:tcBorders/>
            <w:shd w:fill="B6DEE8" w:val="clear"/>
            <w:vAlign w:val="center"/>
          </w:tcPr>
          <w:p>
            <w:pPr>
              <w:pStyle w:val="TableContents"/>
              <w:bidi w:val="0"/>
              <w:spacing w:before="0" w:after="283"/>
              <w:jc w:val="left"/>
              <w:rPr/>
            </w:pPr>
            <w:r>
              <w:rPr/>
              <w:t> </w:t>
            </w:r>
          </w:p>
        </w:tc>
        <w:tc>
          <w:tcPr>
            <w:tcW w:w="78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9373</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1,421</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income taxes for the six months ended June 30, 2024 increased by approximately $1.4 million compared to the six months ended June 30, 2023. This increase was primarily due to a significant increase in income for the six months ended June 30, 2024 compared to the six months ended June 30, 2023, including a discrete gain on extinguishment of convertible debt of $33.4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facilitates an alternative comparison among fiscal periods. The non-GAAP financial measure is not, and should not be viewed as, a substitute for GAAP reporting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EBITDA</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Adjusted EBITDA” is defined as net income (loss) adjusted for interest expense, net, provision (benefit) for income taxes, depreciation and amortization, stock-based compensation and other discretionary items determined by management. 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not all companies calculate Adjusted EBITDA in the same fashion.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The reconciliation of net income (loss) to Adjusted EBITDA below should be reviewed, and no single financial measure should be relied upon to evaluate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net income (loss) to Adjusted EBITDA for the three and six months ended June 30, 2024 and 2023, respectively:</w:t>
      </w:r>
    </w:p>
    <w:p>
      <w:pPr>
        <w:pStyle w:val="TextBody"/>
        <w:bidi w:val="0"/>
        <w:jc w:val="left"/>
        <w:rPr/>
      </w:pPr>
      <w:r>
        <w:rPr/>
        <w:t> </w:t>
      </w:r>
    </w:p>
    <w:tbl>
      <w:tblPr>
        <w:tblW w:w="7946" w:type="dxa"/>
        <w:jc w:val="left"/>
        <w:tblInd w:w="0" w:type="dxa"/>
        <w:tblLayout w:type="fixed"/>
        <w:tblCellMar>
          <w:top w:w="28" w:type="dxa"/>
          <w:left w:w="28" w:type="dxa"/>
          <w:bottom w:w="28" w:type="dxa"/>
          <w:right w:w="28" w:type="dxa"/>
        </w:tblCellMar>
      </w:tblPr>
      <w:tblGrid>
        <w:gridCol w:w="5056"/>
        <w:gridCol w:w="146"/>
        <w:gridCol w:w="249"/>
        <w:gridCol w:w="798"/>
        <w:gridCol w:w="196"/>
        <w:gridCol w:w="172"/>
        <w:gridCol w:w="249"/>
        <w:gridCol w:w="869"/>
        <w:gridCol w:w="21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11" w:type="dxa"/>
            <w:tcBorders/>
            <w:shd w:fill="FFFFFF" w:val="clear"/>
            <w:vAlign w:val="center"/>
          </w:tcPr>
          <w:p>
            <w:pPr>
              <w:pStyle w:val="TableContents"/>
              <w:bidi w:val="0"/>
              <w:spacing w:before="0" w:after="283"/>
              <w:jc w:val="center"/>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B6DEE8" w:val="clear"/>
            <w:vAlign w:val="center"/>
          </w:tcPr>
          <w:p>
            <w:pPr>
              <w:pStyle w:val="TableContents"/>
              <w:bidi w:val="0"/>
              <w:spacing w:before="0" w:after="283"/>
              <w:jc w:val="left"/>
              <w:rPr/>
            </w:pPr>
            <w:r>
              <w:rPr/>
              <w:t> </w:t>
            </w:r>
          </w:p>
        </w:tc>
        <w:tc>
          <w:tcPr>
            <w:tcW w:w="24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196" w:type="dxa"/>
            <w:tcBorders/>
            <w:shd w:fill="B6DEE8" w:val="clear"/>
            <w:vAlign w:val="center"/>
          </w:tcPr>
          <w:p>
            <w:pPr>
              <w:pStyle w:val="TableContents"/>
              <w:bidi w:val="0"/>
              <w:spacing w:before="0" w:after="283"/>
              <w:jc w:val="left"/>
              <w:rPr/>
            </w:pPr>
            <w:r>
              <w:rPr/>
              <w:t> </w:t>
            </w:r>
          </w:p>
        </w:tc>
        <w:tc>
          <w:tcPr>
            <w:tcW w:w="172" w:type="dxa"/>
            <w:tcBorders/>
            <w:shd w:fill="B6DEE8" w:val="clear"/>
            <w:vAlign w:val="center"/>
          </w:tcPr>
          <w:p>
            <w:pPr>
              <w:pStyle w:val="TableContents"/>
              <w:bidi w:val="0"/>
              <w:spacing w:before="0" w:after="283"/>
              <w:jc w:val="left"/>
              <w:rPr/>
            </w:pPr>
            <w:r>
              <w:rPr/>
              <w:t> </w:t>
            </w:r>
          </w:p>
        </w:tc>
        <w:tc>
          <w:tcPr>
            <w:tcW w:w="24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(22,618</w:t>
            </w:r>
          </w:p>
        </w:tc>
        <w:tc>
          <w:tcPr>
            <w:tcW w:w="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9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211" w:type="dxa"/>
            <w:tcBorders/>
            <w:shd w:fill="FFFFFF" w:val="clear"/>
            <w:vAlign w:val="center"/>
          </w:tcPr>
          <w:p>
            <w:pPr>
              <w:pStyle w:val="TableContents"/>
              <w:bidi w:val="0"/>
              <w:spacing w:before="0" w:after="283"/>
              <w:jc w:val="left"/>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B6DEE8" w:val="clear"/>
            <w:vAlign w:val="center"/>
          </w:tcPr>
          <w:p>
            <w:pPr>
              <w:pStyle w:val="TableContents"/>
              <w:bidi w:val="0"/>
              <w:spacing w:before="0" w:after="283"/>
              <w:jc w:val="left"/>
              <w:rPr/>
            </w:pPr>
            <w:r>
              <w:rPr/>
              <w:t> </w:t>
            </w:r>
          </w:p>
        </w:tc>
        <w:tc>
          <w:tcPr>
            <w:tcW w:w="249" w:type="dxa"/>
            <w:tcBorders/>
            <w:shd w:fill="B6DEE8" w:val="clear"/>
            <w:vAlign w:val="center"/>
          </w:tcPr>
          <w:p>
            <w:pPr>
              <w:pStyle w:val="TableContents"/>
              <w:bidi w:val="0"/>
              <w:spacing w:before="0" w:after="283"/>
              <w:jc w:val="left"/>
              <w:rPr/>
            </w:pPr>
            <w:r>
              <w:rPr/>
              <w:t> </w:t>
            </w:r>
          </w:p>
        </w:tc>
        <w:tc>
          <w:tcPr>
            <w:tcW w:w="79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9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B6DEE8" w:val="clear"/>
            <w:vAlign w:val="center"/>
          </w:tcPr>
          <w:p>
            <w:pPr>
              <w:pStyle w:val="TableContents"/>
              <w:bidi w:val="0"/>
              <w:spacing w:before="0" w:after="283"/>
              <w:jc w:val="left"/>
              <w:rPr/>
            </w:pPr>
            <w:r>
              <w:rPr/>
              <w:t> </w:t>
            </w:r>
          </w:p>
        </w:tc>
        <w:tc>
          <w:tcPr>
            <w:tcW w:w="249" w:type="dxa"/>
            <w:tcBorders/>
            <w:shd w:fill="B6DEE8" w:val="clear"/>
            <w:vAlign w:val="center"/>
          </w:tcPr>
          <w:p>
            <w:pPr>
              <w:pStyle w:val="TableContents"/>
              <w:bidi w:val="0"/>
              <w:spacing w:before="0" w:after="283"/>
              <w:jc w:val="left"/>
              <w:rPr/>
            </w:pPr>
            <w:r>
              <w:rPr/>
              <w:t> </w:t>
            </w:r>
          </w:p>
        </w:tc>
        <w:tc>
          <w:tcPr>
            <w:tcW w:w="86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B6DEE8"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9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211" w:type="dxa"/>
            <w:tcBorders/>
            <w:shd w:fill="FFFFFF" w:val="clear"/>
            <w:vAlign w:val="center"/>
          </w:tcPr>
          <w:p>
            <w:pPr>
              <w:pStyle w:val="TableContents"/>
              <w:bidi w:val="0"/>
              <w:spacing w:before="0" w:after="283"/>
              <w:jc w:val="left"/>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B6DEE8" w:val="clear"/>
            <w:vAlign w:val="center"/>
          </w:tcPr>
          <w:p>
            <w:pPr>
              <w:pStyle w:val="TableContents"/>
              <w:bidi w:val="0"/>
              <w:spacing w:before="0" w:after="283"/>
              <w:jc w:val="left"/>
              <w:rPr/>
            </w:pPr>
            <w:r>
              <w:rPr/>
              <w:t> </w:t>
            </w:r>
          </w:p>
        </w:tc>
        <w:tc>
          <w:tcPr>
            <w:tcW w:w="249" w:type="dxa"/>
            <w:tcBorders/>
            <w:shd w:fill="B6DEE8" w:val="clear"/>
            <w:vAlign w:val="center"/>
          </w:tcPr>
          <w:p>
            <w:pPr>
              <w:pStyle w:val="TableContents"/>
              <w:bidi w:val="0"/>
              <w:spacing w:before="0" w:after="283"/>
              <w:jc w:val="left"/>
              <w:rPr/>
            </w:pPr>
            <w:r>
              <w:rPr/>
              <w:t> </w:t>
            </w:r>
          </w:p>
        </w:tc>
        <w:tc>
          <w:tcPr>
            <w:tcW w:w="79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196" w:type="dxa"/>
            <w:tcBorders/>
            <w:shd w:fill="B6DEE8" w:val="clear"/>
            <w:vAlign w:val="center"/>
          </w:tcPr>
          <w:p>
            <w:pPr>
              <w:pStyle w:val="TableContents"/>
              <w:bidi w:val="0"/>
              <w:spacing w:before="0" w:after="283"/>
              <w:jc w:val="left"/>
              <w:rPr/>
            </w:pPr>
            <w:r>
              <w:rPr/>
              <w:t> </w:t>
            </w:r>
          </w:p>
        </w:tc>
        <w:tc>
          <w:tcPr>
            <w:tcW w:w="172" w:type="dxa"/>
            <w:tcBorders/>
            <w:shd w:fill="B6DEE8" w:val="clear"/>
            <w:vAlign w:val="center"/>
          </w:tcPr>
          <w:p>
            <w:pPr>
              <w:pStyle w:val="TableContents"/>
              <w:bidi w:val="0"/>
              <w:spacing w:before="0" w:after="283"/>
              <w:jc w:val="left"/>
              <w:rPr/>
            </w:pPr>
            <w:r>
              <w:rPr/>
              <w:t> </w:t>
            </w:r>
          </w:p>
        </w:tc>
        <w:tc>
          <w:tcPr>
            <w:tcW w:w="249" w:type="dxa"/>
            <w:tcBorders/>
            <w:shd w:fill="B6DEE8" w:val="clear"/>
            <w:vAlign w:val="center"/>
          </w:tcPr>
          <w:p>
            <w:pPr>
              <w:pStyle w:val="TableContents"/>
              <w:bidi w:val="0"/>
              <w:spacing w:before="0" w:after="283"/>
              <w:jc w:val="left"/>
              <w:rPr/>
            </w:pPr>
            <w:r>
              <w:rPr/>
              <w:t> </w:t>
            </w:r>
          </w:p>
        </w:tc>
        <w:tc>
          <w:tcPr>
            <w:tcW w:w="86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w:t>
            </w:r>
          </w:p>
        </w:tc>
        <w:tc>
          <w:tcPr>
            <w:tcW w:w="211" w:type="dxa"/>
            <w:tcBorders/>
            <w:shd w:fill="B6DEE8"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B6DEE8" w:val="clear"/>
            <w:vAlign w:val="center"/>
          </w:tcPr>
          <w:p>
            <w:pPr>
              <w:pStyle w:val="TableContents"/>
              <w:bidi w:val="0"/>
              <w:spacing w:before="0" w:after="283"/>
              <w:jc w:val="left"/>
              <w:rPr/>
            </w:pPr>
            <w:r>
              <w:rPr/>
              <w:t> </w:t>
            </w:r>
          </w:p>
        </w:tc>
        <w:tc>
          <w:tcPr>
            <w:tcW w:w="2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9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B6DEE8" w:val="clear"/>
            <w:vAlign w:val="center"/>
          </w:tcPr>
          <w:p>
            <w:pPr>
              <w:pStyle w:val="TableContents"/>
              <w:bidi w:val="0"/>
              <w:spacing w:before="0" w:after="283"/>
              <w:jc w:val="left"/>
              <w:rPr/>
            </w:pPr>
            <w:r>
              <w:rPr/>
              <w:t> </w:t>
            </w:r>
          </w:p>
        </w:tc>
        <w:tc>
          <w:tcPr>
            <w:tcW w:w="2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15,157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7"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118"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left"/>
        <w:rPr/>
      </w:pPr>
      <w:r>
        <w:rPr/>
        <w:t> </w:t>
      </w:r>
    </w:p>
    <w:tbl>
      <w:tblPr>
        <w:tblW w:w="7706" w:type="dxa"/>
        <w:jc w:val="left"/>
        <w:tblInd w:w="0" w:type="dxa"/>
        <w:tblLayout w:type="fixed"/>
        <w:tblCellMar>
          <w:top w:w="28" w:type="dxa"/>
          <w:left w:w="28" w:type="dxa"/>
          <w:bottom w:w="28" w:type="dxa"/>
          <w:right w:w="28" w:type="dxa"/>
        </w:tblCellMar>
      </w:tblPr>
      <w:tblGrid>
        <w:gridCol w:w="5056"/>
        <w:gridCol w:w="146"/>
        <w:gridCol w:w="219"/>
        <w:gridCol w:w="766"/>
        <w:gridCol w:w="172"/>
        <w:gridCol w:w="151"/>
        <w:gridCol w:w="219"/>
        <w:gridCol w:w="766"/>
        <w:gridCol w:w="21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211" w:type="dxa"/>
            <w:tcBorders/>
            <w:shd w:fill="FFFFFF" w:val="clear"/>
            <w:vAlign w:val="center"/>
          </w:tcPr>
          <w:p>
            <w:pPr>
              <w:pStyle w:val="TableContents"/>
              <w:bidi w:val="0"/>
              <w:spacing w:before="0" w:after="283"/>
              <w:jc w:val="center"/>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B6DEE8" w:val="clear"/>
            <w:vAlign w:val="center"/>
          </w:tcPr>
          <w:p>
            <w:pPr>
              <w:pStyle w:val="TableContents"/>
              <w:bidi w:val="0"/>
              <w:spacing w:before="0" w:after="283"/>
              <w:jc w:val="left"/>
              <w:rPr/>
            </w:pPr>
            <w:r>
              <w:rPr/>
              <w:t> </w:t>
            </w:r>
          </w:p>
        </w:tc>
        <w:tc>
          <w:tcPr>
            <w:tcW w:w="21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40,601</w:t>
            </w:r>
          </w:p>
        </w:tc>
        <w:tc>
          <w:tcPr>
            <w:tcW w:w="172" w:type="dxa"/>
            <w:tcBorders/>
            <w:shd w:fill="B6DEE8" w:val="clear"/>
            <w:vAlign w:val="center"/>
          </w:tcPr>
          <w:p>
            <w:pPr>
              <w:pStyle w:val="TableContents"/>
              <w:bidi w:val="0"/>
              <w:spacing w:before="0" w:after="283"/>
              <w:jc w:val="left"/>
              <w:rPr/>
            </w:pPr>
            <w:r>
              <w:rPr/>
              <w:t> </w:t>
            </w:r>
          </w:p>
        </w:tc>
        <w:tc>
          <w:tcPr>
            <w:tcW w:w="151" w:type="dxa"/>
            <w:tcBorders/>
            <w:shd w:fill="B6DEE8" w:val="clear"/>
            <w:vAlign w:val="center"/>
          </w:tcPr>
          <w:p>
            <w:pPr>
              <w:pStyle w:val="TableContents"/>
              <w:bidi w:val="0"/>
              <w:spacing w:before="0" w:after="283"/>
              <w:jc w:val="left"/>
              <w:rPr/>
            </w:pPr>
            <w:r>
              <w:rPr/>
              <w:t> </w:t>
            </w:r>
          </w:p>
        </w:tc>
        <w:tc>
          <w:tcPr>
            <w:tcW w:w="21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(36,643</w:t>
            </w:r>
          </w:p>
        </w:tc>
        <w:tc>
          <w:tcPr>
            <w:tcW w:w="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w:t>
            </w:r>
          </w:p>
        </w:tc>
        <w:tc>
          <w:tcPr>
            <w:tcW w:w="211" w:type="dxa"/>
            <w:tcBorders/>
            <w:shd w:fill="FFFFFF" w:val="clear"/>
            <w:vAlign w:val="center"/>
          </w:tcPr>
          <w:p>
            <w:pPr>
              <w:pStyle w:val="TableContents"/>
              <w:bidi w:val="0"/>
              <w:spacing w:before="0" w:after="283"/>
              <w:jc w:val="left"/>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B6DEE8" w:val="clear"/>
            <w:vAlign w:val="center"/>
          </w:tcPr>
          <w:p>
            <w:pPr>
              <w:pStyle w:val="TableContents"/>
              <w:bidi w:val="0"/>
              <w:spacing w:before="0" w:after="283"/>
              <w:jc w:val="left"/>
              <w:rPr/>
            </w:pPr>
            <w:r>
              <w:rPr/>
              <w:t> </w:t>
            </w:r>
          </w:p>
        </w:tc>
        <w:tc>
          <w:tcPr>
            <w:tcW w:w="21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72" w:type="dxa"/>
            <w:tcBorders/>
            <w:shd w:fill="B6DEE8" w:val="clear"/>
            <w:vAlign w:val="center"/>
          </w:tcPr>
          <w:p>
            <w:pPr>
              <w:pStyle w:val="TableContents"/>
              <w:bidi w:val="0"/>
              <w:spacing w:before="0" w:after="283"/>
              <w:jc w:val="left"/>
              <w:rPr/>
            </w:pPr>
            <w:r>
              <w:rPr/>
              <w:t> </w:t>
            </w:r>
          </w:p>
        </w:tc>
        <w:tc>
          <w:tcPr>
            <w:tcW w:w="151" w:type="dxa"/>
            <w:tcBorders/>
            <w:shd w:fill="B6DEE8" w:val="clear"/>
            <w:vAlign w:val="center"/>
          </w:tcPr>
          <w:p>
            <w:pPr>
              <w:pStyle w:val="TableContents"/>
              <w:bidi w:val="0"/>
              <w:spacing w:before="0" w:after="283"/>
              <w:jc w:val="left"/>
              <w:rPr/>
            </w:pPr>
            <w:r>
              <w:rPr/>
              <w:t> </w:t>
            </w:r>
          </w:p>
        </w:tc>
        <w:tc>
          <w:tcPr>
            <w:tcW w:w="21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shd w:fill="B6DEE8"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211" w:type="dxa"/>
            <w:tcBorders/>
            <w:shd w:fill="FFFFFF" w:val="clear"/>
            <w:vAlign w:val="center"/>
          </w:tcPr>
          <w:p>
            <w:pPr>
              <w:pStyle w:val="TableContents"/>
              <w:bidi w:val="0"/>
              <w:spacing w:before="0" w:after="283"/>
              <w:jc w:val="left"/>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B6DEE8" w:val="clear"/>
            <w:vAlign w:val="center"/>
          </w:tcPr>
          <w:p>
            <w:pPr>
              <w:pStyle w:val="TableContents"/>
              <w:bidi w:val="0"/>
              <w:spacing w:before="0" w:after="283"/>
              <w:jc w:val="left"/>
              <w:rPr/>
            </w:pPr>
            <w:r>
              <w:rPr/>
              <w:t> </w:t>
            </w:r>
          </w:p>
        </w:tc>
        <w:tc>
          <w:tcPr>
            <w:tcW w:w="21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w:t>
            </w:r>
          </w:p>
        </w:tc>
        <w:tc>
          <w:tcPr>
            <w:tcW w:w="172" w:type="dxa"/>
            <w:tcBorders/>
            <w:shd w:fill="B6DEE8" w:val="clear"/>
            <w:vAlign w:val="center"/>
          </w:tcPr>
          <w:p>
            <w:pPr>
              <w:pStyle w:val="TableContents"/>
              <w:bidi w:val="0"/>
              <w:spacing w:before="0" w:after="283"/>
              <w:jc w:val="left"/>
              <w:rPr/>
            </w:pPr>
            <w:r>
              <w:rPr/>
              <w:t> </w:t>
            </w:r>
          </w:p>
        </w:tc>
        <w:tc>
          <w:tcPr>
            <w:tcW w:w="151" w:type="dxa"/>
            <w:tcBorders/>
            <w:shd w:fill="B6DEE8" w:val="clear"/>
            <w:vAlign w:val="center"/>
          </w:tcPr>
          <w:p>
            <w:pPr>
              <w:pStyle w:val="TableContents"/>
              <w:bidi w:val="0"/>
              <w:spacing w:before="0" w:after="283"/>
              <w:jc w:val="left"/>
              <w:rPr/>
            </w:pPr>
            <w:r>
              <w:rPr/>
              <w:t> </w:t>
            </w:r>
          </w:p>
        </w:tc>
        <w:tc>
          <w:tcPr>
            <w:tcW w:w="21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13,406</w:t>
            </w:r>
          </w:p>
        </w:tc>
        <w:tc>
          <w:tcPr>
            <w:tcW w:w="211" w:type="dxa"/>
            <w:tcBorders/>
            <w:shd w:fill="B6DEE8"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convertible debt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1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B6DEE8" w:val="clear"/>
            <w:vAlign w:val="center"/>
          </w:tcPr>
          <w:p>
            <w:pPr>
              <w:pStyle w:val="TableContents"/>
              <w:bidi w:val="0"/>
              <w:spacing w:before="0" w:after="283"/>
              <w:jc w:val="left"/>
              <w:rPr/>
            </w:pPr>
            <w:r>
              <w:rPr/>
              <w:t> </w:t>
            </w:r>
          </w:p>
        </w:tc>
        <w:tc>
          <w:tcPr>
            <w:tcW w:w="21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72" w:type="dxa"/>
            <w:tcBorders/>
            <w:shd w:fill="B6DEE8" w:val="clear"/>
            <w:vAlign w:val="center"/>
          </w:tcPr>
          <w:p>
            <w:pPr>
              <w:pStyle w:val="TableContents"/>
              <w:bidi w:val="0"/>
              <w:spacing w:before="0" w:after="283"/>
              <w:jc w:val="left"/>
              <w:rPr/>
            </w:pPr>
            <w:r>
              <w:rPr/>
              <w:t> </w:t>
            </w:r>
          </w:p>
        </w:tc>
        <w:tc>
          <w:tcPr>
            <w:tcW w:w="151" w:type="dxa"/>
            <w:tcBorders/>
            <w:shd w:fill="B6DEE8" w:val="clear"/>
            <w:vAlign w:val="center"/>
          </w:tcPr>
          <w:p>
            <w:pPr>
              <w:pStyle w:val="TableContents"/>
              <w:bidi w:val="0"/>
              <w:spacing w:before="0" w:after="283"/>
              <w:jc w:val="left"/>
              <w:rPr/>
            </w:pPr>
            <w:r>
              <w:rPr/>
              <w:t> </w:t>
            </w:r>
          </w:p>
        </w:tc>
        <w:tc>
          <w:tcPr>
            <w:tcW w:w="21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B6DEE8" w:val="clear"/>
            <w:vAlign w:val="center"/>
          </w:tcPr>
          <w:p>
            <w:pPr>
              <w:pStyle w:val="TableContents"/>
              <w:bidi w:val="0"/>
              <w:spacing w:before="0" w:after="283"/>
              <w:jc w:val="left"/>
              <w:rPr/>
            </w:pPr>
            <w:r>
              <w:rPr/>
              <w:t> </w:t>
            </w:r>
          </w:p>
        </w:tc>
        <w:tc>
          <w:tcPr>
            <w:tcW w:w="21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28,336</w:t>
            </w:r>
          </w:p>
        </w:tc>
        <w:tc>
          <w:tcPr>
            <w:tcW w:w="17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1" w:type="dxa"/>
            <w:tcBorders/>
            <w:shd w:fill="B6DEE8" w:val="clear"/>
            <w:vAlign w:val="center"/>
          </w:tcPr>
          <w:p>
            <w:pPr>
              <w:pStyle w:val="TableContents"/>
              <w:bidi w:val="0"/>
              <w:spacing w:before="0" w:after="283"/>
              <w:jc w:val="left"/>
              <w:rPr/>
            </w:pPr>
            <w:r>
              <w:rPr/>
              <w:t> </w:t>
            </w:r>
          </w:p>
        </w:tc>
        <w:tc>
          <w:tcPr>
            <w:tcW w:w="21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(17,607</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we have financed our operations primarily from cash receipts from service and transaction based revenues, equity financings, borrowings under the Debt Facility, issuances of convertible notes and funds received as a result of the business combination. As of June 30, 2024 and December 31, 2023, our cash and cash equivalents, marketable securities, investments and restricted cash balance was $89.7 million and $157.3 million, respectively.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an early-stage company, the expenses we have incurred since inception are consistent with our strategy and approach to capital allocation. Although we have recently begun to generate net income, we may incur net losses in the future in accordance with our operating plan as we continue to expand and improve upon our financial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our cash on hand should be sufficient to meet our working capital and capital expenditure requirements and fund our operations for a period of at least 12 months from the date of this report. We may raise additional capital through private or public equity or debt financings. The amount and timing of our future funding requirements, if any, will depend on many factors, including the pace and results of our product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We do not have any “off-balance sheet arrangements,” as defined by the SEC regulations.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Although we have fully implemented our remote employee workforce strategy in the U.S., we have not closed our leased office locations. We are required to continue making our contractual payments until our operating leases are formally terminated or expire. Our remaining leases have terms of approximately 1.5 to 4.3 years as of June 30, 2024, and we had a total lease liability of $0.7 million. See Note 12, Leases in the notes to our condensed consolidated financial statements for additional information regarding our lease liabilities as of June 30,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near term, we expect to continue to generate ExtraCash originations relying primarily on our balance sheet cash and Debt Facility, as needed. Interest payments on term loan borrowings under the Debt Facility are required to be made on a monthly basis. At June 30, 2024, $75.0 million of term loans under the Debt Facility were outstanding. See Note 10, Debt Facility in the notes to our condensed consolidated financial statements in this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we also had certain contractual payment obligations for interest owed under the $100.0 million Note we issued and sold pursuant to the Note Purchase Agreement entered into with FTX Ventures Ltd. Interest payments relating to the Note were required to be made or added to the outstanding principal on a semi-annual basis. On January 29, 2024, we repurchased the $105.5 million outstanding balance of the Note for $71.0 million. For more information on the Note Purchase Agreement with FTX Ventures Ltd., see Note 8, Convertible Note Payable.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use cash to acquire businesses and technologies. The nature of these transactions, however, makes it difficult to predict the amount and timing of such cash requirements.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Flows Summary</w:t>
      </w:r>
    </w:p>
    <w:p>
      <w:pPr>
        <w:pStyle w:val="TextBody"/>
        <w:bidi w:val="0"/>
        <w:jc w:val="left"/>
        <w:rPr/>
      </w:pPr>
      <w:r>
        <w:rPr/>
        <w:t> </w:t>
      </w:r>
    </w:p>
    <w:tbl>
      <w:tblPr>
        <w:tblW w:w="8606" w:type="dxa"/>
        <w:jc w:val="left"/>
        <w:tblInd w:w="0" w:type="dxa"/>
        <w:tblLayout w:type="fixed"/>
        <w:tblCellMar>
          <w:top w:w="28" w:type="dxa"/>
          <w:left w:w="28" w:type="dxa"/>
          <w:bottom w:w="28" w:type="dxa"/>
          <w:right w:w="28" w:type="dxa"/>
        </w:tblCellMar>
      </w:tblPr>
      <w:tblGrid>
        <w:gridCol w:w="5206"/>
        <w:gridCol w:w="146"/>
        <w:gridCol w:w="299"/>
        <w:gridCol w:w="1044"/>
        <w:gridCol w:w="235"/>
        <w:gridCol w:w="207"/>
        <w:gridCol w:w="299"/>
        <w:gridCol w:w="959"/>
        <w:gridCol w:w="21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3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provided by (used in):</w:t>
            </w:r>
          </w:p>
        </w:tc>
        <w:tc>
          <w:tcPr>
            <w:tcW w:w="146" w:type="dxa"/>
            <w:tcBorders/>
            <w:shd w:fill="FFFFFF" w:val="clear"/>
            <w:vAlign w:val="center"/>
          </w:tcPr>
          <w:p>
            <w:pPr>
              <w:pStyle w:val="TableContents"/>
              <w:bidi w:val="0"/>
              <w:spacing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center"/>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B6DEE8" w:val="clear"/>
            <w:vAlign w:val="center"/>
          </w:tcPr>
          <w:p>
            <w:pPr>
              <w:pStyle w:val="TableContents"/>
              <w:bidi w:val="0"/>
              <w:spacing w:before="0" w:after="283"/>
              <w:jc w:val="left"/>
              <w:rPr/>
            </w:pPr>
            <w:r>
              <w:rPr/>
              <w:t> </w:t>
            </w:r>
          </w:p>
        </w:tc>
        <w:tc>
          <w:tcPr>
            <w:tcW w:w="29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46,391</w:t>
            </w:r>
          </w:p>
        </w:tc>
        <w:tc>
          <w:tcPr>
            <w:tcW w:w="235" w:type="dxa"/>
            <w:tcBorders/>
            <w:shd w:fill="B6DEE8" w:val="clear"/>
            <w:vAlign w:val="center"/>
          </w:tcPr>
          <w:p>
            <w:pPr>
              <w:pStyle w:val="TableContents"/>
              <w:bidi w:val="0"/>
              <w:spacing w:before="0" w:after="283"/>
              <w:jc w:val="left"/>
              <w:rPr/>
            </w:pPr>
            <w:r>
              <w:rPr/>
              <w:t> </w:t>
            </w:r>
          </w:p>
        </w:tc>
        <w:tc>
          <w:tcPr>
            <w:tcW w:w="207" w:type="dxa"/>
            <w:tcBorders/>
            <w:shd w:fill="B6DEE8" w:val="clear"/>
            <w:vAlign w:val="center"/>
          </w:tcPr>
          <w:p>
            <w:pPr>
              <w:pStyle w:val="TableContents"/>
              <w:bidi w:val="0"/>
              <w:spacing w:before="0" w:after="283"/>
              <w:jc w:val="left"/>
              <w:rPr/>
            </w:pPr>
            <w:r>
              <w:rPr/>
              <w:t> </w:t>
            </w:r>
          </w:p>
        </w:tc>
        <w:tc>
          <w:tcPr>
            <w:tcW w:w="29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w:t>
            </w:r>
          </w:p>
        </w:tc>
        <w:tc>
          <w:tcPr>
            <w:tcW w:w="211" w:type="dxa"/>
            <w:tcBorders/>
            <w:shd w:fill="B6DEE8" w:val="clear"/>
            <w:vAlign w:val="center"/>
          </w:tcPr>
          <w:p>
            <w:pPr>
              <w:pStyle w:val="TableContents"/>
              <w:bidi w:val="0"/>
              <w:spacing w:before="0" w:after="283"/>
              <w:jc w:val="left"/>
              <w:rPr/>
            </w:pPr>
            <w:r>
              <w:rPr/>
              <w:t> </w:t>
            </w:r>
          </w:p>
        </w:tc>
      </w:tr>
      <w:tr>
        <w:trPr/>
        <w:tc>
          <w:tcPr>
            <w:tcW w:w="5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31,607</w:t>
            </w:r>
          </w:p>
        </w:tc>
        <w:tc>
          <w:tcPr>
            <w:tcW w:w="235"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23,716</w:t>
            </w:r>
          </w:p>
        </w:tc>
        <w:tc>
          <w:tcPr>
            <w:tcW w:w="211" w:type="dxa"/>
            <w:tcBorders/>
            <w:shd w:fill="FFFFFF" w:val="clear"/>
            <w:vAlign w:val="center"/>
          </w:tcPr>
          <w:p>
            <w:pPr>
              <w:pStyle w:val="TableContents"/>
              <w:bidi w:val="0"/>
              <w:spacing w:before="0" w:after="283"/>
              <w:jc w:val="left"/>
              <w:rPr/>
            </w:pPr>
            <w:r>
              <w:rPr/>
              <w:t> </w:t>
            </w:r>
          </w:p>
        </w:tc>
      </w:tr>
      <w:tr>
        <w:trPr/>
        <w:tc>
          <w:tcPr>
            <w:tcW w:w="520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B6DEE8" w:val="clear"/>
            <w:vAlign w:val="center"/>
          </w:tcPr>
          <w:p>
            <w:pPr>
              <w:pStyle w:val="TableContents"/>
              <w:bidi w:val="0"/>
              <w:spacing w:before="0" w:after="283"/>
              <w:jc w:val="left"/>
              <w:rPr/>
            </w:pPr>
            <w:r>
              <w:rPr/>
              <w:t> </w:t>
            </w:r>
          </w:p>
        </w:tc>
        <w:tc>
          <w:tcPr>
            <w:tcW w:w="29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(70,930</w:t>
            </w:r>
          </w:p>
        </w:tc>
        <w:tc>
          <w:tcPr>
            <w:tcW w:w="23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B6DEE8" w:val="clear"/>
            <w:vAlign w:val="center"/>
          </w:tcPr>
          <w:p>
            <w:pPr>
              <w:pStyle w:val="TableContents"/>
              <w:bidi w:val="0"/>
              <w:spacing w:before="0" w:after="283"/>
              <w:jc w:val="left"/>
              <w:rPr/>
            </w:pPr>
            <w:r>
              <w:rPr/>
              <w:t> </w:t>
            </w:r>
          </w:p>
        </w:tc>
        <w:tc>
          <w:tcPr>
            <w:tcW w:w="29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7,068</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3" w:type="dxa"/>
            <w:gridSpan w:val="2"/>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Cash Flows From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2024, net cash provided by operating activities increased compared to the six months ended June 30, 2023 due to increases in operating revenues and a reduction in operating expenses across the organization. Net cash provided by operating activities for the six months ended June 30, 2024 included net income of $40.6 million, and excluding non-cash impacts, included increase in accounts payable of $3.8 million, an increase in other non-current liabilities of $2.9 million, an increase in other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 liabilities of $0.5 million, and a decrease in prepaid income taxes of $0.1 million. These changes were offset primarily by an increase in prepaid expenses and other current assets of $5.6 million, a decrease in a legal settlement accrual of $2.1 million, a decrease in accrued expenses of $1.9 million and an increase in Member advances, service based revenue of $0.6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2023, net cash provided by operating activities increased compared to the six months ended June 30, 2022 due to increases in operating revenues, offset primarily by increases in compensation and other operating expenses to support the growth of the business. Net cash provided by operating activities for the six months ended June 30, 2023 included a net loss of $36.6 million, and excluding non-cash impacts, included an increase in prepaid expenses and other current assets of $2.4 million, a decrease in accounts payable of $5.2 million and a decrease in a legal settlement accrual of $1.8 million. These changes were offset primarily by an increase in accrued expenses of $3.0 million.</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Cash Flows From 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2024, net cash provided by investing activities was $31.6 million. This included the sale and maturity of investments of $121.8 million and sale of marketable securities of $60.0 million, offset by purchases of marketable securities of $59.2 million, purchases of investments of $48.5 million, net disbursements and collections of Member advances of $38.7 million, and payments related to internally developed software costs of $3.8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six months ended June 30, 2023, net cash provided by investing activities was $23.7 million. This included the sale and maturity of short-term investments of $98.7 million and sale of marketable securities of $31.4 million, offset by net disbursements and collections of Member advances of $13.0 million, payments related to internally developed software costs of $4.1 million, purchases of short-term investments of $54.4 million, and purchases of marketable securities of $34.3 million.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Cash Flows From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2024, net cash used in financing activities was $70.9 million, which consisted of the $71.8 million paydown of the FTX Ventures Ltd. convertible note and associated costs, offset by $0.8 million received for stock option exercises.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2023, net cash used in financing activities was $11 thousand, which primarily consisted of payments for fractional shares that resulted from a reverse stock split.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condensed consolidated financial statements have been prepared in accordance with U.S. GAAP. The preparation of these condensed consolidated financial statements requires us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Allowance for credit losses;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management’s judgments and estimates. For further details, please refer to Note 2 in our accompanying condensed consolidated financial statements for the three and six months ended June 30, 2024 and 2023 included in this Form 10-Q.</w:t>
      </w:r>
    </w:p>
    <w:p>
      <w:pPr>
        <w:pStyle w:val="TextBody"/>
        <w:bidi w:val="0"/>
        <w:jc w:val="left"/>
        <w:rPr>
          <w:rFonts w:ascii="Times New Roman" w:hAnsi="Times New Roman"/>
          <w:color w:val="000000"/>
          <w:sz w:val="20"/>
        </w:rPr>
      </w:pPr>
      <w:r>
        <w:rPr>
          <w:rFonts w:ascii="Times New Roman" w:hAnsi="Times New Roman"/>
          <w:color w:val="000000"/>
          <w:sz w:val="20"/>
        </w:rPr>
        <w:t>While our significant accounting estimates are described in the notes to our consolidated financial statements, we believe that the following accounting estimates require a greater degree of judgment and complexity and are the most critical to understanding our financial condition and historical and future results of operations.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Allowance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Member advances from contracts with Members as of the balance sheet dates are recorded at their original advance amounts reduced by an allowance for expected credit losses. We pool our Member advances, all of which are short-term in nature and arise from contracts with Members, based on shared risk characteristics to assess their risk of loss, even when that risk is remote. We use an aging method and historical loss rates as a basis for estimating the percentage of current and delinquent Member advances balances that will result in credit losses. We consider whether the conditions at the measurement date and reasonable and supportable forecasts about future conditions warrant an adjustment to our historical loss experience. In assessing such adjustments, we primarily evaluate current economic conditions, expectations of near-term economic trends and changes in customer payment terms and collection trends. For the measurement dates presented herein, given our methods of collecting funds, and that we have not observed meaningful changes in our customers’ payment behavior, we determined that our historical loss rates remained most indicative of our lifetime expected losses. We immediately recognize an allowance for expected credit losses upon the origination of the advance. Adjustments to the allowance each period for changes in the estimate of lifetime expected credit losses are recognized in operating expenses—provision for credit losses in the consolidated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When we determine that a Member advance is not collectible, the uncollectible amount is written-off as a reduction to both the allowance and the gross asset balance. Subsequent recoveries are recorded when received and are recorded as a recovery of the allowance for expected credit losses. Any change in circumstances related to a specific Member advance may result in an additional allowance for expected credit losses being recognized in the period in which the change occurs.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follow ASC 740, Income Taxes (“ASC 740”), which requires recognition of deferred tax assets and liabilities for the expected future tax consequences of events that have been included in the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our estimated annual pre-tax income in each tax jurisdiction in which it operates, and the development of tax planning strategies during the year. In addition, our tax expense can be impacted by changes in tax rates or laws and other factors that cannot be predicted with certainty. As such, there can be significant volatility in interim tax provisions.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$1.5 million and $1.0 million of uncertain tax positions as of June 30, 2024 and 2023, respectively, related to state income taxes and federal and state R&amp;D tax credits.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policy is to recognize interest and penalties accrued on any unrecognized tax benefits as a component of income tax expense within the statement of operations.</w:t>
      </w:r>
    </w:p>
    <w:p>
      <w:pPr>
        <w:pStyle w:val="TextBody"/>
        <w:bidi w:val="0"/>
        <w:jc w:val="left"/>
        <w:rPr>
          <w:rFonts w:ascii="Times New Roman" w:hAnsi="Times New Roman"/>
          <w:color w:val="000000"/>
          <w:sz w:val="20"/>
        </w:rPr>
      </w:pPr>
      <w:r>
        <w:rPr>
          <w:rFonts w:ascii="Times New Roman" w:hAnsi="Times New Roman"/>
          <w:color w:val="000000"/>
          <w:sz w:val="20"/>
        </w:rPr>
        <w:t>We are subject to income tax in jurisdictions in which we operate, including the United States. For U.S. income tax purposes, we are taxed as a Subchapter C corporation.</w:t>
      </w:r>
    </w:p>
    <w:p>
      <w:pPr>
        <w:pStyle w:val="TextBody"/>
        <w:bidi w:val="0"/>
        <w:jc w:val="left"/>
        <w:rPr>
          <w:rFonts w:ascii="Times New Roman" w:hAnsi="Times New Roman"/>
          <w:color w:val="000000"/>
          <w:sz w:val="20"/>
        </w:rPr>
      </w:pPr>
      <w:r>
        <w:rPr>
          <w:rFonts w:ascii="Times New Roman" w:hAnsi="Times New Roman"/>
          <w:color w:val="000000"/>
          <w:sz w:val="20"/>
        </w:rPr>
        <w:t>We recognize deferred taxes for temporary differences between the basis of assets and liabilities for financial statement and income tax purposes. We recorded a valuation allowance against our deferred tax assets, net of certain deferred tax liabilities, at June 30, 2024 and December 31, 2023. Based upon management’s assessment of all available evidence, we have concluded that it is more-likely-than-not that the deferred tax assets, net of certain deferred tax liabilities, will not be realized.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an “emerging growth company” as defined in Section 2(a) of the Securities Act of 1933, as amended, and have elected to take advantage of the benefits of the extended transition period for new or revised financial accounting standards. We expect to remain an emerging growth company and to continue to take advantage of the benefits of the extended transition period, although we may decide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our accompanying condensed consolidated financial statements included in this report for the recent accounting pronouncements adopted and the recent accounting pronouncements not yet adopted for the three months ended June 30, 2024 and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condensed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remain an emerging growth company under the JOBS Act until the earliest of (1) the last day of the fiscal year (a) following March 4, 2026, (b) in which we have total annual gross revenue of at least $1.235 billion, (c) in which we are deemed to be a “large accelerated filer” under the rules of the SEC, which means the market value of our common equity that is held by non-affiliates exceeds $700 million as of the end of the prior fiscal year’s second fiscal quarter; and (2) the date on which we have issued more than $1.0 billion in non-convertible debt securities during the previous three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“Significant Accounting Policies,” of our condensed consolidated financial statements included in this report for a discussion of the impact of recent accounting pronouncements.</w:t>
      </w:r>
    </w:p>
    <w:p>
      <w:pPr>
        <w:pStyle w:val="TextBody"/>
        <w:bidi w:val="0"/>
        <w:spacing w:before="360" w:after="283"/>
        <w:jc w:val="left"/>
        <w:rPr>
          <w:rFonts w:ascii="Times New Roman" w:hAnsi="Times New Roman"/>
          <w:sz w:val="20"/>
        </w:rPr>
      </w:pPr>
      <w:bookmarkStart w:id="12" w:name="item3_quantitativeandqualitative"/>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required for smaller reporting companies. </w:t>
      </w:r>
    </w:p>
    <w:p>
      <w:pPr>
        <w:pStyle w:val="TextBody"/>
        <w:bidi w:val="0"/>
        <w:spacing w:before="360" w:after="283"/>
        <w:jc w:val="left"/>
        <w:rPr>
          <w:rFonts w:ascii="Times New Roman" w:hAnsi="Times New Roman"/>
          <w:b/>
          <w:color w:val="000000"/>
          <w:sz w:val="20"/>
        </w:rPr>
      </w:pPr>
      <w:bookmarkStart w:id="13" w:name="item4_controlsand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required by Rules 13a-15 and 15d-15 under the Exchange Act, our Chief Executive Officer and Chief Financial Officer conducted an evaluation of the effectiveness of the design and operation of our disclosure controls and procedures as of June 30, 2024. Based on this evaluation, our Chief Executive Officer and Chief Financial Officer have concluded that our disclosure controls and procedures were not effective, due to the material weaknesses in our internal control over financial reporting described below. As a result, we performed additional analysis as deemed necessary to ensure that our financial statements were prepared in accordance with U.S. generally accepted accounting principles. Accordingly, management believes that the financial statements included in this Quarterly Report on Form 10-Q present fairly in all material respects our financial position, results of operations and cash flows for the period presented.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Previously Identified Material Weaknesses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discussed in Part II, Item 9A in our Annual Report, we identified material weaknesses in our internal control over financial reporting for the years ended December 31, 2023 because: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maintain sufficient evidence of the performance and/or review of certain internal controls or complete remediation testing for certain internal controls over the period-end financial reporting process addressing financial statement and footnote presentation and disclosures;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maintain sufficient evidence of the performance and/or review of certain IT application controls for information systems that are relevant to the preparation of our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Remediation Plan and Status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2023, we made significant progress enhancing our internal control environment by completing an enterprise-wide risk assessment, process narratives, risk and control matrices, a subsequent gap analysis and performed targeted testing of the design and operating effectiveness of our internal control over financial reporting in efforts to remediate previously disclosed material weaknesses. These efforts also include, but are not limited to: adding additional resources in accounting and finance departments, utilizing third party specialists to assist with complex accounting matters and reduce risks associated with the lack of segregation of duties; implementing a segregation of duties monitoring tool; formalizing accounting policies and procedures; implementing a new enterprise resource planning system to enhance the journal entry review and approval processes; performing bank and balance sheet account reconciliations on a monthly basis; implementing a SOX compliance and audit management platform; and designing and implementing both IT general controls and IT application controls around our product platform and core applications, including controls over: change management, access security and IT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continue to implement our plan to remediate the material weaknesses described above. Those remediation measures are ongoing and include (i) ensuring our enterprise-wide risk assessment, risk and control matrices, process narratives and gap analysis continue to be updated to reflect our current accounting processes and internal control environment and (ii) ensuring internal control over financial reporting is adequately performed; and (iii) ensuring sufficient testing is performed and the testing-related support and documentation are complete and accurate for the design and operating effectiveness of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further details on our material weaknesses that existed during the years ended December 31, 2023 and 2022, please refer to our Annual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described above,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ii_other_information"/>
      <w:bookmarkEnd w:id="14"/>
      <w:r>
        <w:rPr>
          <w:rFonts w:ascii="Times New Roman" w:hAnsi="Times New Roman"/>
          <w:b/>
          <w:color w:val="000000"/>
          <w:sz w:val="20"/>
        </w:rPr>
        <w:t>PART II —OTHER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5" w:name="item1_legalproceedings"/>
      <w:bookmarkEnd w:id="15"/>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a description of our material pending legal proceedings, please see Note 11, “Commitments and Contingencies,” to the condensed consolidated financial statements included elsewhere in this report.</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business. We are not currently a party to any such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and reputational harm and other factors.</w:t>
      </w:r>
    </w:p>
    <w:p>
      <w:pPr>
        <w:pStyle w:val="TextBody"/>
        <w:bidi w:val="0"/>
        <w:spacing w:before="360" w:after="283"/>
        <w:jc w:val="left"/>
        <w:rPr>
          <w:rFonts w:ascii="Times New Roman" w:hAnsi="Times New Roman"/>
          <w:sz w:val="20"/>
        </w:rPr>
      </w:pPr>
      <w:bookmarkStart w:id="16" w:name="item1a_risk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the date of this Form 10-Q, there have been no material changes to the risk factors disclosed in in our Annual Report for the year ended December 31, 2023 filed with the SEC on March 5, 2024, other than as noted below.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pStyle w:val="TextBody"/>
        <w:bidi w:val="0"/>
        <w:spacing w:before="0" w:after="240"/>
        <w:jc w:val="left"/>
        <w:rPr>
          <w:rFonts w:ascii="Times New Roman" w:hAnsi="Times New Roman"/>
          <w:sz w:val="20"/>
        </w:rPr>
      </w:pPr>
      <w:r>
        <w:rPr>
          <w:rFonts w:ascii="Times New Roman" w:hAnsi="Times New Roman"/>
          <w:b/>
          <w:i/>
          <w:color w:val="000000"/>
          <w:sz w:val="20"/>
        </w:rPr>
        <w:t>We currently rely on a single bank partner, and If our present or any future key banking relationships are terminated and we are not able to secure or successfully migrate client portfolios to a new bank partner or partners, or our bank partner becomes subject to regulatory restrictions or other operational disruptions, our business would be adversely affected.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currently rely on agreements with Evolve, our only bank partner, to provide ExtraCash and other deposit accounts, debit card services and other transaction services to us and our Members. These agreements and corresponding regulations governing banks and financial institutions may give Evolve substantial discretion in approving certain aspects of our business practices, including our application and qualification procedures for Members and require us to comply with certain legal requirements. Evolve discretionary actions under these agreements could impose material limitations to, or have a material adverse effect on, our business, financial condition and results of operations.In addition, any disruptions or restrictions on Evolve’s operations could have an adverse effect on our business, financial condition and results of operations. For example, in May 2024, Evolve experienced a cybersecurity incident that resulted in the leak of certain customer information, including information of some of our Members. If our relationship with Evolve is terminated or Evolve becomes unable to provide the necessary services to us, we would need to find another financial institution to provide those services, which could be difficult and expensive. If we are unable to find a replacement financial institution to provide the services we receive from Evolve, we would not be able to offer ExtraCash advances, service our deposit accounts, debit cards and other services, which would have a material adverse effect on our business, financial condition and results of operations. Furthermore, our financial results could be adversely affected if our costs associated with using Evolve materially change or if any penalty or claim for damages is imposed as a result of our breach of our agreements with Evolve.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state and federal agencies have broad discretion in their interpretation of laws and requirements related to bank partnership programs and may elect to alter standards or the interpretation of the standards applicable to these programs. The uncertainty of the federal and state regulatory environments around bank partnership programs means that our efforts to launch products and services through bank partners may not ultimately be successful, or may be restricted or challenged by legislation or regulatory action. If the legal structure underlying our relationship with Evolve were to be successfully challenged or otherwise restricted, we would need to find an alternative bank relationship. Furthermore, Evolve or any other future bank partners could be subject to enforcement actions, civil monetary penalties, supervisory orders to cease and desist or other remedial actions, which, even if unrelated to our business, could impose restrictions on the bank partner’s ability to continue to extend credit on current terms or offer services that are required for certain of our products. For example, in June 2024, the Federal Reserve Board issued a cease and desist order against Evolve for alleged deficiencies in its anti-money laundering, risk management and consumer compliance programs. Federal or state regulators may also subject us to increased compliance, legal and operational costs, and could subject our business model to scrutiny and otherwise increase our regulatory requirements, or may adversely affect our ability to expand our business.</w:t>
      </w:r>
    </w:p>
    <w:p>
      <w:pPr>
        <w:pStyle w:val="TextBody"/>
        <w:bidi w:val="0"/>
        <w:spacing w:before="0" w:after="240"/>
        <w:jc w:val="left"/>
        <w:rPr>
          <w:rFonts w:ascii="Times New Roman" w:hAnsi="Times New Roman"/>
          <w:sz w:val="20"/>
        </w:rPr>
      </w:pPr>
      <w:r>
        <w:rPr>
          <w:rFonts w:ascii="Times New Roman" w:hAnsi="Times New Roman"/>
          <w:b/>
          <w:i/>
          <w:color w:val="000000"/>
          <w:sz w:val="20"/>
        </w:rPr>
        <w:t>Cyberattacks and other security breaches or disruptions suffered by us or third parties upon which we rely could have a materially adverse effect on our business, harm our reputation and expose us to public scrutiny and liability.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the normal course of business, we collect, process, use and retain sensitive and confidential information regarding our Members and prospective Members, including data provided by and related to Members and their transactions, as well as other data of the counterparties to their payments. We also have arrangements in place with certain third-party service providers that require us to share consumer information for servicing purposes. Information security risks in the financial services industry continue to increase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generally, in part because of new technologies, the use of the Internet and telecommunications technologies (including mobile devices) to conduct financial and other business transactions and the increased sophistication and activities of organized criminals, perpetrators of fraud, hackers, terrorists and other malicious third parties. In addition to cyberattacks and other security breaches involving the theft of sensitive and confidential information, hackers, terrorists, sophisticated nation-state and nation-state supported actors and other malicious third parties recently have engaged in attacks that are designed to disrupt key business services, such as consumer-facing applications and websites.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These cybersecurity challenges, including threats to our own IT infrastructure or those of third-party providers, may take a variety of forms ranging from stolen bank accounts, business email compromise, user fraud, account takeover, check fraud or cybersecurity attacks, such as ransomware, unauthorized encryption, denial-of-service attacks, social engineering, unauthorized access, spam or other attacks, to “mega breaches” targeted against cloud-based services and other hosted software, which could be initiated by individual or groups of hackers or sophisticated cyber criminals. A cybersecurity incident or breach could result in disclosure of confidential information and intellectual property, or cause service interruptions and compromised data. We may be unable to anticipate or prevent techniques used in the future to obtain unauthorized access or to sabotage systems because they change frequently and often are not detected until after an incident has occurred. Our information technology and infrastructure, as well as those of our third-party service providers, have experienced breaches and may be subject or vulnerable in the future to breaches or attacks. For example, a third-party breach resulted in improper disclosure of certain of our Members’ information, and any future improper disclosure of our own confidential business information or the information of our Members could materially and adversely affect our business. 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Members, prevent us from obtaining new partners and Members, require us to expend significant funds to remedy problems caused by breaches and implement measures to prevent further breaches, and expose us to legal risk and potential liability including from governmental or regulatory investigations, class action litigation and other lawsuits. If sensitive information is lost or improperly disclosed through a data breach or otherwise or threatened to be disclosed, we could experience a loss of confidence by our partners and Members in the security of our systems, products and services and prevent us from obtaining new partners and Members, and we could incur significant costs to remedy problems caused by breaches and implement measures to prevent further breaches, and expose us to legal risk and potential liability and penalties, including from governmental or regulatory investigations, class action litigation and other lawsuits, all of which could adversely affect our reputation and our operating results. Any actual or perceived security breach at a company providing services to us or our Members could have similar effects.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Most jurisdictions have enacted laws requiring companies to notify individuals, regulatory authorities and others of security breaches involving certain types of data. In addition, our agreements with certain partners and service providers may require us to notify them in the event of a security breach. Such mandatory disclosures are costly, could lead to negative publicity, may cause our Members to lose confidence in the effectiveness of our security measures and require us to expend significant capital and other resources to respond to and/or alleviate problems caused by the actual or perceived security breach. A security breach of any of our vendors that processes personally identifiable information of our Members may pose similar risks.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May 2020, an unauthorized third party attempted to gain access to Dave Member accounts and was able to access Member profiles and Members’ partial or incomplete bank account information. We did not uncover any evidence that the attacker was able to take any actions with respect to the data, other than gaining read access to it, nor do we believe any unauthorized transactions were made or advances requested on the Dave system. We provided notice to relevant parties as required under applicable law and agreements and took steps to set up alerts to detect abnormal request volumes and introduced rate limiting at the IP address level. In addition, in June 2020, we were notified of an unauthorized third party breach of our Dave database. The third party was able to access to Dave’s system by breaching the system of one of Dave’s third party service providers. The attacker was able to download a large data set, including encrypted social security numbers for some Members; however, there was no evidence that unauthorized transactions were made or advances requested on the Dave system, nor do we believe that the third party gained access to decryption keys or was otherwise able to decrypt encrypted information. The May 2020 and June 2020 incidents are collectively referred to herein as the "2020 Incidents." We took remedial measures, including the engagement of an outside security consultant to monitor for ongoing dark web activity and to conduct a security audit and incident investigation, and notified relevant parties as required under applicable law and agreements. As a result of the 2020 Incidents, we are in the process of settling a purported class action in California for approximately $3.1 million and we settled individual claims outside of California for approximately $4.4 million. See Item 1. Legal Proceedings. In addition, in 2024, one of our third-party service providers experienced a data breach that resulted in improper disclosure of certain of our Members’ information. As we have increased our Member base and our brand has become more widely known and recognized, third parties may continue to seek to compromise our security controls or gain unauthorized access to our sensitive corporate information or our Members’ data.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our banking partner or other strategic partners were to conclude that our systems and security policies and procedures are insufficiently rigorous, they could terminate their relationships with us, and our financial results and business could be adversely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affected. Under our terms of service and our contracts with strategic partners, if there is a breach of nonpublic personal information of our Members that we store, we could be liable to the partner for their losses and related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Additionally, as computer malware, viruses, and computer hacking, fraudulent use attempts, and phishing attacks have become more prevalent, we, and third parties upon which we rely, face increased risk in maintaining the performance, reliability, security, and availability of our solutions and related services and technical infrastructure to the satisfaction of our Members. Any computer malware, viruses, computer hacking, fraudulent use attempts, phishing attacks, or other data security breaches related to our network infrastructure or information technology systems or to computer hardware we lease from third parties, could, among other things, harm our reputation and our ability to retain existing Members and attract new Members. </w:t>
      </w:r>
    </w:p>
    <w:p>
      <w:pPr>
        <w:pStyle w:val="TextBody"/>
        <w:bidi w:val="0"/>
        <w:jc w:val="left"/>
        <w:rPr>
          <w:rFonts w:ascii="Times New Roman" w:hAnsi="Times New Roman"/>
          <w:color w:val="000000"/>
          <w:sz w:val="20"/>
        </w:rPr>
      </w:pPr>
      <w:r>
        <w:rPr>
          <w:rFonts w:ascii="Times New Roman" w:hAnsi="Times New Roman"/>
          <w:color w:val="000000"/>
          <w:sz w:val="20"/>
        </w:rPr>
        <w:t>Our insurance may be insufficient or may not cover all liabilities incurred by cybersecurity incidents.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TextBody"/>
        <w:bidi w:val="0"/>
        <w:jc w:val="left"/>
        <w:rPr>
          <w:rFonts w:ascii="Times New Roman" w:hAnsi="Times New Roman"/>
          <w:sz w:val="20"/>
        </w:rPr>
      </w:pPr>
      <w:r>
        <w:rPr>
          <w:rFonts w:ascii="Times New Roman" w:hAnsi="Times New Roman"/>
          <w:b/>
          <w:i/>
          <w:color w:val="000000"/>
          <w:sz w:val="20"/>
        </w:rPr>
        <w:t>Our business is subject to extensive regulation and oversight in a variety of areas under federal, state and local laws, and is subject to regulatory investigations and consumer litigation.</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subject to extensive regulation under United States federal and state laws and regulations. Regulators have broad discretion with respect to the interpretation, implementation, and enforcement of these laws and regulations, including through enforcement actions that could subject us to civil money penalties, Member remediation, increased compliance costs, and limits or prohibitions on our ability to offer certain products or services or to engage in certain activities. Any failure or perceived failure to comply with any of these laws or regulations could subject us to lawsuits or governmental actions and/or damage our reputation, which could materially and adversely affect our business. Moreover, any competitors subject to different, or in some cases less restrictive, legislative or regulatory regimes may have or obtain a competitive advantage over us.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subject to the regulatory and enforcement authority of the CFPB, which oversees compliance with federal consumer financial protection laws. In addition, our partnership with Evolve is subject to the supervisory authority of the Federal Reserve, which is Evolve’s primary federal bank regulator. The CFPB has broad enforcement powers, and upon determining a violation of applicable law has occurred can order, among other things, rescission or reformation of contracts, the refund of moneys, restitution, disgorgement or compensation for unjust enrichment, the payment of damages or other monetary relief, public notifications regarding violations, limits on activities or functions, remediation of practices, external compliance monitoring and civil money penalties. The cost of responding to investigations can be substantial and an adverse resolution to an investigation, including a consent order or other settlement, may have a material adverse effect on our business, financial position, results of operations and future prospects.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example, since January 2023, we have been cooperating with the FTC staff in response to a Civil Investigative Demand (“CID”) seeking information in connection with the sale, offering, advertising, marketing or other promotion of cash advance products and online financial services. Although we believe that our practices at all times have been in compliance with applicable law, the defense or resolution of this matter could involve significant monetary costs or penalties and have a significant impact on our financial results and operations.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addition, we are also subject to consumer litigation, including putative consumer class actions which allege that we violate federal and/or state laws regulating the financial services industry. For example, in July 2022, a purported class action </w:t>
      </w:r>
      <w:r>
        <w:rPr>
          <w:rFonts w:ascii="Times New Roman" w:hAnsi="Times New Roman"/>
          <w:i/>
          <w:color w:val="000000"/>
          <w:sz w:val="20"/>
        </w:rPr>
        <w:t>Lopez v. Dave, Inc.</w:t>
      </w:r>
      <w:r>
        <w:rPr>
          <w:rFonts w:ascii="Times New Roman" w:hAnsi="Times New Roman"/>
          <w:color w:val="000000"/>
          <w:sz w:val="20"/>
        </w:rPr>
        <w:t xml:space="preserve"> was filed in the U.S. District Court for the Northern District of California alleging violations of California consumer protection laws and state and federal lending laws, among other things, and we settled this matter in July 2024. In December 2022, a purported class action </w:t>
      </w:r>
      <w:r>
        <w:rPr>
          <w:rFonts w:ascii="Times New Roman" w:hAnsi="Times New Roman"/>
          <w:i/>
          <w:color w:val="000000"/>
          <w:sz w:val="20"/>
        </w:rPr>
        <w:t>Golubiewski and Checchia v. Dave, Inc.</w:t>
      </w:r>
      <w:r>
        <w:rPr>
          <w:rFonts w:ascii="Times New Roman" w:hAnsi="Times New Roman"/>
          <w:color w:val="000000"/>
          <w:sz w:val="20"/>
        </w:rPr>
        <w:t xml:space="preserve"> was filed in the U.S. District Court for the Middle District of Pennsylvania alleging similar violations under Pennsylvania state and federal laws. We are actively litigating this matter and cannot estimate the likely outcome at this time.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"terms of use" for the Dave App as well as the Evolve agreements related to the ExtraCash and deposit accounts include arbitration clauses. If our arbitration agreements were to become unenforceable for any reason, we could experience an increase to our consumer litigation costs and exposure to potentially damaging class action lawsuits. Even if our arbitration clause remains enforceable, we may be subject to mass arbitrations in which large groups of consumers bring arbitration claims against the Company simultaneously.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been and may in the future also be subject to investigations and potential enforcement actions that may be brought by state regulatory authorities, state attorneys general or other state enforcement authorities and other governmental agencies. Any such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actions could subject us to civil money penalties and fines, Member remediation, and increased compliance costs, damage our reputation and brand and limit or prohibit our ability to offer certain products and services or engage in certain business practices.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 </w:t>
      </w:r>
    </w:p>
    <w:p>
      <w:pPr>
        <w:pStyle w:val="TextBody"/>
        <w:bidi w:val="0"/>
        <w:spacing w:before="0" w:after="240"/>
        <w:jc w:val="left"/>
        <w:rPr>
          <w:rFonts w:ascii="Times New Roman" w:hAnsi="Times New Roman"/>
          <w:sz w:val="20"/>
        </w:rPr>
      </w:pPr>
      <w:r>
        <w:rPr>
          <w:rFonts w:ascii="Times New Roman" w:hAnsi="Times New Roman"/>
          <w:b/>
          <w:i/>
          <w:color w:val="000000"/>
          <w:sz w:val="20"/>
        </w:rPr>
        <w:t>The financial services industry continues to be highly regulated and subject to new laws or regulations in many jurisdictions, including the U.S. states in which we operate, which could restrict the products and services we offer, impose additional compliance costs on us, render our current operations unprofitable or even prohibit our current or future operations.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required to comply with frequently changing federal, state, and local laws and regulations that regulate, among other things, the terms of the financial products and services we offer. New laws or regulations may require us to incur significant expenses to ensure compliance. Federal and state regulators of consumer financial products and services are also enforcing existing laws, regulations, and rules more aggressively, and enhancing their supervisory expectations regarding the management of legal and regulatory compliance risks. For example, State attorneys general have indicated that they will take a more active role in enforcing consumer protection laws, including through the establishment of state consumer protection agencies as well as the use of Dodd-Frank Act provisions that authorize state attorneys general to enforce certain provisions of federal consumer financial laws and obtain civil money penalties and other relief available to the CFPB.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regulators are interpreting existing laws, regulations and rules in new and different ways as they attempt to apply them to novel products and business models such as ours. The regulatory landscape in which we operate continues to evolve, and the CFPB has issued several interpretive statements and guidance that could impact our business practices. For example, in July 2024, the CFPB proposed interpretive rule on paycheck advance and earned wage access, a model which Dave was originally founded on but transitioned away from beginning in 2022. If the CFPB determines that our current business model and practices fall within the scope of the proposed interpretive rule, we could be subject to additional regulatory requirements and scrutiny. Moreover, "True lender" challenges of bank partnership arrangements for credit products (such as the arrangement for ExtraCash) are being raised at the federal and state levels, and banking as a service arrangements (such as the arrangements for our deposit accounts) are subject to heightened scrutiny. Changes in the laws, regulations and enforcement priorities applicable to our business, or changes in the way existing laws and regulations are interpreted and applied to us, could have a material impact on our business model, operations and financial position. In some cases, these measures could even directly prohibit some or all of our current business activities in certain jurisdictions or render them unprofitable and/or impractical to continue.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application of traditional federal and state consumer protection statutes and related regulations to innovative products offered by financial technology companies such as us is often uncertain, evolving and unsettled. To the extent that our products are deemed to be subject to any such laws, we could be subject to additional compliance obligations, including state licensing requirements, disclosure requirements and usury or fee limitations, among other things. Application of such requirements and restrictions to our products and services could require us to make significant changes to our business practices (which may increase our operating expenses and/or decrease revenue) and, in the event of retroactive application of such laws, subject us to litigation or enforcement actions that could result in the payment of damages, restitution, monetary penalties, injunctive restrictions, or other sanctions, as well as unenforceability of the advances facilitated through our platform, any of which could have a material adverse effect on our business, financial position, and results of operations.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Further, we may not be able to respond quickly or effectively to regulatory, legislative, and other developments, and these changes may in turn impair our ability to offer our existing or planned features, products, and services and/or increase our cost of doing business. In addition, we expect to continue to launch new products and services in the coming years, which may subject us to additional legal and regulatory requirements under federal, state and local laws and regulations. To the extent the application of these laws or regulations to our new offerings is unclear or evolving, including changing interpretations and the implementation of new or varying regulatory requirements by federal or state governments and regulators, this may significantly affect or change our proposed business model, increase our operating expenses and hinder or delay our anticipated launch timelines for new products and services. </w:t>
        <w:b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Due to our bank partnership model, we are and will continue to be subject to third-party risk management obligations, our business model may need to be substantially altered and we may not be able to continue to operate our business as it is currently operated.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Banking products made available through us by our bank partner remain subject to regulation and supervision by our bank partner’s regulators and we, as a service provider to our bank partner, undertake certain compliance obligations. If we were to become directly subject to banking regulations or if the third-party risk management requirements applicable to us were to change, our business model may need to be substantially altered and we may not be able to continue to operate our business as it is currently operated. Failure by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us, or any of our business partners, to comply with applicable laws and regulations could have a material adverse effect on our business, financial position and results of operations. </w:t>
      </w:r>
    </w:p>
    <w:p>
      <w:pPr>
        <w:pStyle w:val="TextBody"/>
        <w:bidi w:val="0"/>
        <w:spacing w:before="0" w:after="240"/>
        <w:jc w:val="left"/>
        <w:rPr>
          <w:rFonts w:ascii="Times New Roman" w:hAnsi="Times New Roman"/>
          <w:sz w:val="20"/>
        </w:rPr>
      </w:pPr>
      <w:r>
        <w:rPr>
          <w:rFonts w:ascii="Times New Roman" w:hAnsi="Times New Roman"/>
          <w:b/>
          <w:i/>
          <w:color w:val="000000"/>
          <w:sz w:val="20"/>
        </w:rPr>
        <w:t>If we were found to be operating without having obtained necessary state or local licenses, it could adversely affect our business, results of operations, financial condition, and future prospects.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Certain states have adopted laws regulating and requiring licensing, registration, notice filing, or other approval by parties that engage in certain activities regarding consumer finance transactions. 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The application of certain consumer financial licensing laws to our platform and the related activities it performs is not always clear, and regulatory agencies may not agree with our determinations on the applicability of such laws to us. In addition, state licensing requirements may evolve over time, including, in particular, recent trends in legislation seeking to impose licensing requirements and regulation of parties engaged in business to consumer advance products such as ExtraCash. For example, in 2023, the banking regulators in Connecticut and Maryland issued guidance (and in the case of Maryland, a regulatory change) (collectively, “State Regulatory Changes”) indicating that traditional “earned wage access” products would, under certain circumstances, be considered small loans under the state lending laws, and that optional fees and tips, under certain circumstances, would be finance charges for purposes of calculating the interest rate under the state’s applicable usury limit. These State Regulatory Changes would subject those covered by them to licensure and limitations or prohibitions on certain charges. Although we do not believe that our ExtraCash overdraft product offered through Evolve is covered by the State Regulatory Changes, we have recently received separate inquiries from the Connecticut and Maryland banking regulators as to whether the ExtraCash product is subject to the State Regulatory Changes, as well as a subpoena from the Maryland Attorney General requesting information regarding any earned wage access and related products that we offer in the state of Maryland. Although we believe that our practices and products offered at all times in Maryland and Connecticut have been in compliance with applicable law, the defense or resolution of these matters could involve significant monetary costs or penalties and have a significant impact on our financial results and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we were found to be in violation of applicable state licensing or other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advances facilitated through our platform could be rendered void in whole or in part, any of which could have an adverse effect on our business, results of operations, and financial condition. For example, we have received and responded to inquiries from various states, in each case regarding whether the advance products we offer in those states should subject us to state licensing and related requirements. In December 2021, we entered into a Memorandum of Understanding (“MOU”) with the California Department of Financial Protection and Innovation (“CA DFPI”). The MOU requires us to provide the CA DFPI with certain information as requested by the CA DFPI and adhere to certain best practices in connection with our ExtraCash advance product (including certain disclosures related to us not being licensed by the CA DFPI).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item2_unregisteredsalesofequity"/>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8" w:name="item3_defaultsuponseniorsecurities"/>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9" w:name="item4_minesafetydisclosures"/>
      <w:bookmarkEnd w:id="19"/>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20" w:name="item5_other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21" w:name="item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4"/>
        <w:gridCol w:w="9401"/>
      </w:tblGrid>
      <w:tr>
        <w:trPr/>
        <w:tc>
          <w:tcPr>
            <w:tcW w:w="804" w:type="dxa"/>
            <w:tcBorders/>
            <w:vAlign w:val="center"/>
          </w:tcPr>
          <w:p>
            <w:pPr>
              <w:pStyle w:val="TableContents"/>
              <w:bidi w:val="0"/>
              <w:spacing w:before="0" w:after="283"/>
              <w:jc w:val="left"/>
              <w:rPr>
                <w:sz w:val="4"/>
                <w:szCs w:val="4"/>
              </w:rPr>
            </w:pPr>
            <w:r>
              <w:rPr>
                <w:sz w:val="4"/>
                <w:szCs w:val="4"/>
              </w:rPr>
            </w:r>
          </w:p>
        </w:tc>
        <w:tc>
          <w:tcPr>
            <w:tcW w:w="9401" w:type="dxa"/>
            <w:tcBorders/>
            <w:vAlign w:val="center"/>
          </w:tcPr>
          <w:p>
            <w:pPr>
              <w:pStyle w:val="TableContents"/>
              <w:bidi w:val="0"/>
              <w:spacing w:before="0" w:after="283"/>
              <w:jc w:val="left"/>
              <w:rPr>
                <w:sz w:val="4"/>
                <w:szCs w:val="4"/>
              </w:rPr>
            </w:pPr>
            <w:r>
              <w:rPr>
                <w:sz w:val="4"/>
                <w:szCs w:val="4"/>
              </w:rPr>
            </w:r>
          </w:p>
        </w:tc>
      </w:tr>
      <w:tr>
        <w:trPr/>
        <w:tc>
          <w:tcPr>
            <w:tcW w:w="804"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w:t>
              <w:br/>
            </w:r>
            <w:r>
              <w:rPr>
                <w:rFonts w:ascii="Times New Roman" w:hAnsi="Times New Roman"/>
                <w:b/>
                <w:color w:val="000000"/>
                <w:sz w:val="20"/>
                <w:u w:val="single"/>
              </w:rPr>
              <w:t>No.</w:t>
            </w:r>
          </w:p>
        </w:tc>
        <w:tc>
          <w:tcPr>
            <w:tcW w:w="9401" w:type="dxa"/>
            <w:tcBorders/>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04" w:type="dxa"/>
            <w:tcBorders/>
            <w:vAlign w:val="center"/>
          </w:tcPr>
          <w:p>
            <w:pPr>
              <w:pStyle w:val="TableContents"/>
              <w:bidi w:val="0"/>
              <w:spacing w:before="0" w:after="283"/>
              <w:jc w:val="left"/>
              <w:rPr/>
            </w:pPr>
            <w:r>
              <w:rPr/>
              <w:t> </w:t>
            </w:r>
          </w:p>
        </w:tc>
        <w:tc>
          <w:tcPr>
            <w:tcW w:w="9401" w:type="dxa"/>
            <w:tcBorders/>
            <w:vAlign w:val="center"/>
          </w:tcPr>
          <w:p>
            <w:pPr>
              <w:pStyle w:val="TableContents"/>
              <w:bidi w:val="0"/>
              <w:spacing w:before="0" w:after="283"/>
              <w:jc w:val="center"/>
              <w:rPr/>
            </w:pPr>
            <w:r>
              <w:rPr/>
              <w:t> </w:t>
            </w:r>
          </w:p>
        </w:tc>
      </w:tr>
      <w:tr>
        <w:trPr/>
        <w:tc>
          <w:tcPr>
            <w:tcW w:w="8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9401"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Second Amended and Restated Certificate of Incorporation of Dave Inc. (incorporated by reference to Exhibit 3.1 to the Company’s Current Report on Form 8-K filed with the Commission on January 11, 2022)</w:t>
              </w:r>
            </w:hyperlink>
          </w:p>
        </w:tc>
      </w:tr>
      <w:tr>
        <w:trPr/>
        <w:tc>
          <w:tcPr>
            <w:tcW w:w="804" w:type="dxa"/>
            <w:tcBorders/>
            <w:vAlign w:val="center"/>
          </w:tcPr>
          <w:p>
            <w:pPr>
              <w:pStyle w:val="TableContents"/>
              <w:bidi w:val="0"/>
              <w:spacing w:before="0" w:after="283"/>
              <w:jc w:val="left"/>
              <w:rPr/>
            </w:pPr>
            <w:r>
              <w:rPr/>
              <w:t> </w:t>
            </w:r>
          </w:p>
        </w:tc>
        <w:tc>
          <w:tcPr>
            <w:tcW w:w="9401" w:type="dxa"/>
            <w:tcBorders/>
            <w:vAlign w:val="center"/>
          </w:tcPr>
          <w:p>
            <w:pPr>
              <w:pStyle w:val="TableContents"/>
              <w:bidi w:val="0"/>
              <w:spacing w:before="0" w:after="283"/>
              <w:jc w:val="left"/>
              <w:rPr/>
            </w:pPr>
            <w:r>
              <w:rPr/>
              <w:t> </w:t>
            </w:r>
          </w:p>
        </w:tc>
      </w:tr>
      <w:tr>
        <w:trPr/>
        <w:tc>
          <w:tcPr>
            <w:tcW w:w="8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9401"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Dave Inc. (incorporated by reference to Exhibit 3.2 to the Company’s Current Report on Form 8-K filed with the Commission on January 11, 2022)</w:t>
              </w:r>
            </w:hyperlink>
          </w:p>
        </w:tc>
      </w:tr>
      <w:tr>
        <w:trPr/>
        <w:tc>
          <w:tcPr>
            <w:tcW w:w="804" w:type="dxa"/>
            <w:tcBorders/>
            <w:vAlign w:val="center"/>
          </w:tcPr>
          <w:p>
            <w:pPr>
              <w:pStyle w:val="TableContents"/>
              <w:bidi w:val="0"/>
              <w:spacing w:before="0" w:after="283"/>
              <w:jc w:val="left"/>
              <w:rPr/>
            </w:pPr>
            <w:r>
              <w:rPr/>
              <w:t> </w:t>
            </w:r>
          </w:p>
        </w:tc>
        <w:tc>
          <w:tcPr>
            <w:tcW w:w="9401" w:type="dxa"/>
            <w:tcBorders/>
            <w:vAlign w:val="center"/>
          </w:tcPr>
          <w:p>
            <w:pPr>
              <w:pStyle w:val="TableContents"/>
              <w:bidi w:val="0"/>
              <w:spacing w:before="0" w:after="283"/>
              <w:jc w:val="left"/>
              <w:rPr/>
            </w:pPr>
            <w:r>
              <w:rPr/>
              <w:t> </w:t>
            </w:r>
          </w:p>
        </w:tc>
      </w:tr>
      <w:tr>
        <w:trPr/>
        <w:tc>
          <w:tcPr>
            <w:tcW w:w="8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401" w:type="dxa"/>
            <w:tcBorders/>
            <w:vAlign w:val="center"/>
          </w:tcPr>
          <w:p>
            <w:pPr>
              <w:pStyle w:val="TableContents"/>
              <w:bidi w:val="0"/>
              <w:spacing w:before="0" w:after="283"/>
              <w:jc w:val="left"/>
              <w:rPr/>
            </w:pPr>
            <w:hyperlink w:anchor="dave-ex31_1.htm">
              <w:r>
                <w:rPr>
                  <w:rStyle w:val="InternetLink"/>
                  <w:rFonts w:ascii="Times New Roman" w:hAnsi="Times New Roman"/>
                  <w:color w:val="0000FF"/>
                  <w:sz w:val="20"/>
                  <w:u w:val="single"/>
                </w:rPr>
                <w:t>Certification of the Chief Executive Officer pursuant to Rule 13a-14(a) under the Securities Exchange Act of 1934, as adopted pursuant to §302 of the Sarbanes-Oxley Act of 2002</w:t>
              </w:r>
            </w:hyperlink>
          </w:p>
        </w:tc>
      </w:tr>
      <w:tr>
        <w:trPr/>
        <w:tc>
          <w:tcPr>
            <w:tcW w:w="804" w:type="dxa"/>
            <w:tcBorders/>
            <w:vAlign w:val="center"/>
          </w:tcPr>
          <w:p>
            <w:pPr>
              <w:pStyle w:val="TableContents"/>
              <w:bidi w:val="0"/>
              <w:spacing w:before="0" w:after="283"/>
              <w:jc w:val="left"/>
              <w:rPr/>
            </w:pPr>
            <w:r>
              <w:rPr/>
              <w:t> </w:t>
            </w:r>
          </w:p>
        </w:tc>
        <w:tc>
          <w:tcPr>
            <w:tcW w:w="9401" w:type="dxa"/>
            <w:tcBorders/>
            <w:vAlign w:val="center"/>
          </w:tcPr>
          <w:p>
            <w:pPr>
              <w:pStyle w:val="TableContents"/>
              <w:bidi w:val="0"/>
              <w:spacing w:before="0" w:after="283"/>
              <w:jc w:val="left"/>
              <w:rPr/>
            </w:pPr>
            <w:r>
              <w:rPr/>
              <w:t> </w:t>
            </w:r>
          </w:p>
        </w:tc>
      </w:tr>
      <w:tr>
        <w:trPr/>
        <w:tc>
          <w:tcPr>
            <w:tcW w:w="8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401" w:type="dxa"/>
            <w:tcBorders/>
            <w:vAlign w:val="center"/>
          </w:tcPr>
          <w:p>
            <w:pPr>
              <w:pStyle w:val="TableContents"/>
              <w:bidi w:val="0"/>
              <w:spacing w:before="0" w:after="283"/>
              <w:jc w:val="left"/>
              <w:rPr/>
            </w:pPr>
            <w:hyperlink w:anchor="dave-ex31_2.htm">
              <w:r>
                <w:rPr>
                  <w:rStyle w:val="InternetLink"/>
                  <w:rFonts w:ascii="Times New Roman" w:hAnsi="Times New Roman"/>
                  <w:color w:val="0000FF"/>
                  <w:sz w:val="20"/>
                  <w:u w:val="single"/>
                </w:rPr>
                <w:t>Certification of the Chief Financial Officer pursuant to Rule 13a-14(a) under the Securities Exchange Act of 1934, as adopted pursuant to §302 of the Sarbanes-Oxley Act of 2002</w:t>
              </w:r>
            </w:hyperlink>
          </w:p>
        </w:tc>
      </w:tr>
      <w:tr>
        <w:trPr/>
        <w:tc>
          <w:tcPr>
            <w:tcW w:w="804" w:type="dxa"/>
            <w:tcBorders/>
            <w:vAlign w:val="center"/>
          </w:tcPr>
          <w:p>
            <w:pPr>
              <w:pStyle w:val="TableContents"/>
              <w:bidi w:val="0"/>
              <w:spacing w:before="0" w:after="283"/>
              <w:jc w:val="left"/>
              <w:rPr/>
            </w:pPr>
            <w:r>
              <w:rPr/>
              <w:t> </w:t>
            </w:r>
          </w:p>
        </w:tc>
        <w:tc>
          <w:tcPr>
            <w:tcW w:w="9401" w:type="dxa"/>
            <w:tcBorders/>
            <w:vAlign w:val="center"/>
          </w:tcPr>
          <w:p>
            <w:pPr>
              <w:pStyle w:val="TableContents"/>
              <w:bidi w:val="0"/>
              <w:spacing w:before="0" w:after="283"/>
              <w:jc w:val="left"/>
              <w:rPr/>
            </w:pPr>
            <w:r>
              <w:rPr/>
              <w:t> </w:t>
            </w:r>
          </w:p>
        </w:tc>
      </w:tr>
      <w:tr>
        <w:trPr/>
        <w:tc>
          <w:tcPr>
            <w:tcW w:w="8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9401" w:type="dxa"/>
            <w:tcBorders/>
            <w:vAlign w:val="center"/>
          </w:tcPr>
          <w:p>
            <w:pPr>
              <w:pStyle w:val="TableContents"/>
              <w:bidi w:val="0"/>
              <w:spacing w:before="0" w:after="283"/>
              <w:jc w:val="left"/>
              <w:rPr/>
            </w:pPr>
            <w:hyperlink w:anchor="dave-ex32_1.htm">
              <w:r>
                <w:rPr>
                  <w:rStyle w:val="InternetLink"/>
                  <w:rFonts w:ascii="Times New Roman" w:hAnsi="Times New Roman"/>
                  <w:color w:val="0000FF"/>
                  <w:sz w:val="20"/>
                  <w:u w:val="single"/>
                </w:rPr>
                <w:t>Certification of the Chief Executive Officer and Chief Financial Officer pursuant to 18 U.S.C. §1350, as adopted pursuant to §906 of the Sarbanes-Oxley Act of 2002</w:t>
              </w:r>
            </w:hyperlink>
          </w:p>
        </w:tc>
      </w:tr>
      <w:tr>
        <w:trPr/>
        <w:tc>
          <w:tcPr>
            <w:tcW w:w="804" w:type="dxa"/>
            <w:tcBorders/>
            <w:vAlign w:val="center"/>
          </w:tcPr>
          <w:p>
            <w:pPr>
              <w:pStyle w:val="TableContents"/>
              <w:bidi w:val="0"/>
              <w:spacing w:before="0" w:after="283"/>
              <w:jc w:val="left"/>
              <w:rPr/>
            </w:pPr>
            <w:r>
              <w:rPr/>
              <w:t> </w:t>
            </w:r>
          </w:p>
        </w:tc>
        <w:tc>
          <w:tcPr>
            <w:tcW w:w="9401" w:type="dxa"/>
            <w:tcBorders/>
            <w:vAlign w:val="center"/>
          </w:tcPr>
          <w:p>
            <w:pPr>
              <w:pStyle w:val="TableContents"/>
              <w:bidi w:val="0"/>
              <w:spacing w:before="0" w:after="283"/>
              <w:jc w:val="left"/>
              <w:rPr/>
            </w:pPr>
            <w:r>
              <w:rPr/>
              <w:t> </w:t>
            </w:r>
          </w:p>
        </w:tc>
      </w:tr>
      <w:tr>
        <w:trPr/>
        <w:tc>
          <w:tcPr>
            <w:tcW w:w="8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04" w:type="dxa"/>
            <w:tcBorders/>
            <w:vAlign w:val="center"/>
          </w:tcPr>
          <w:p>
            <w:pPr>
              <w:pStyle w:val="TableContents"/>
              <w:bidi w:val="0"/>
              <w:spacing w:before="0" w:after="283"/>
              <w:jc w:val="left"/>
              <w:rPr/>
            </w:pPr>
            <w:r>
              <w:rPr/>
              <w:t> </w:t>
            </w:r>
          </w:p>
        </w:tc>
        <w:tc>
          <w:tcPr>
            <w:tcW w:w="9401" w:type="dxa"/>
            <w:tcBorders/>
            <w:vAlign w:val="center"/>
          </w:tcPr>
          <w:p>
            <w:pPr>
              <w:pStyle w:val="TableContents"/>
              <w:bidi w:val="0"/>
              <w:spacing w:before="0" w:after="283"/>
              <w:jc w:val="left"/>
              <w:rPr/>
            </w:pPr>
            <w:r>
              <w:rPr/>
              <w:t> </w:t>
            </w:r>
          </w:p>
        </w:tc>
      </w:tr>
      <w:tr>
        <w:trPr/>
        <w:tc>
          <w:tcPr>
            <w:tcW w:w="8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4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804" w:type="dxa"/>
            <w:tcBorders/>
            <w:vAlign w:val="center"/>
          </w:tcPr>
          <w:p>
            <w:pPr>
              <w:pStyle w:val="TableContents"/>
              <w:bidi w:val="0"/>
              <w:spacing w:before="0" w:after="283"/>
              <w:jc w:val="left"/>
              <w:rPr/>
            </w:pPr>
            <w:r>
              <w:rPr/>
              <w:t> </w:t>
            </w:r>
          </w:p>
        </w:tc>
        <w:tc>
          <w:tcPr>
            <w:tcW w:w="9401" w:type="dxa"/>
            <w:tcBorders/>
            <w:vAlign w:val="center"/>
          </w:tcPr>
          <w:p>
            <w:pPr>
              <w:pStyle w:val="TableContents"/>
              <w:bidi w:val="0"/>
              <w:spacing w:before="0" w:after="283"/>
              <w:jc w:val="left"/>
              <w:rPr/>
            </w:pPr>
            <w:r>
              <w:rPr/>
              <w:t> </w:t>
            </w:r>
          </w:p>
        </w:tc>
      </w:tr>
      <w:tr>
        <w:trPr/>
        <w:tc>
          <w:tcPr>
            <w:tcW w:w="8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Furnished and not filed.</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5069" w:type="dxa"/>
        <w:jc w:val="left"/>
        <w:tblInd w:w="0" w:type="dxa"/>
        <w:tblLayout w:type="fixed"/>
        <w:tblCellMar>
          <w:top w:w="28" w:type="dxa"/>
          <w:left w:w="28" w:type="dxa"/>
          <w:bottom w:w="28" w:type="dxa"/>
          <w:right w:w="28" w:type="dxa"/>
        </w:tblCellMar>
      </w:tblPr>
      <w:tblGrid>
        <w:gridCol w:w="1951"/>
        <w:gridCol w:w="146"/>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66" w:type="dxa"/>
            <w:tcBorders/>
            <w:vAlign w:val="center"/>
          </w:tcPr>
          <w:p>
            <w:pPr>
              <w:pStyle w:val="TableContents"/>
              <w:bidi w:val="0"/>
              <w:spacing w:before="0" w:after="283"/>
              <w:jc w:val="left"/>
              <w:rPr/>
            </w:pPr>
            <w:r>
              <w:rPr/>
              <w:t> </w:t>
            </w:r>
          </w:p>
        </w:tc>
      </w:tr>
      <w:tr>
        <w:trPr/>
        <w:tc>
          <w:tcPr>
            <w:tcW w:w="1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Wilk</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Wilk</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center"/>
        <w:rPr/>
      </w:pPr>
      <w:r>
        <w:rPr/>
        <w:t> </w:t>
      </w:r>
    </w:p>
    <w:tbl>
      <w:tblPr>
        <w:tblW w:w="5009" w:type="dxa"/>
        <w:jc w:val="left"/>
        <w:tblInd w:w="0" w:type="dxa"/>
        <w:tblLayout w:type="fixed"/>
        <w:tblCellMar>
          <w:top w:w="28" w:type="dxa"/>
          <w:left w:w="28" w:type="dxa"/>
          <w:bottom w:w="28" w:type="dxa"/>
          <w:right w:w="28" w:type="dxa"/>
        </w:tblCellMar>
      </w:tblPr>
      <w:tblGrid>
        <w:gridCol w:w="1951"/>
        <w:gridCol w:w="146"/>
        <w:gridCol w:w="406"/>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 </w:t>
            </w:r>
          </w:p>
        </w:tc>
      </w:tr>
      <w:tr>
        <w:trPr/>
        <w:tc>
          <w:tcPr>
            <w:tcW w:w="1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Beilman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Beilman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jc w:val="righ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270" w:after="283"/>
        <w:jc w:val="left"/>
        <w:rPr/>
      </w:pPr>
      <w:bookmarkStart w:id="23" w:name="dave-ex31_1.htm"/>
      <w:bookmarkStart w:id="24" w:name="ksdaveex31_1"/>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Jason Wilk,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 ended June 30, 2024 of Dave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
        </w:rPr>
      </w:pPr>
      <w:r>
        <w:rPr>
          <w:rFonts w:ascii="Times New Roman" w:hAnsi="Times New Roman"/>
          <w:color w:val="000000"/>
          <w:sz w:val="2"/>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6, 2024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Wilk</w:t>
            </w:r>
          </w:p>
        </w:tc>
      </w:tr>
      <w:tr>
        <w:trPr/>
        <w:tc>
          <w:tcPr>
            <w:tcW w:w="24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4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dave-ex31_2.htm"/>
      <w:bookmarkStart w:id="26" w:name="ksdaveex31_2"/>
      <w:bookmarkEnd w:id="25"/>
      <w:bookmarkEnd w:id="26"/>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Kyle Beilman,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 ended June 30, 2024 of Dave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6, 2024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283"/>
              <w:jc w:val="left"/>
              <w:rPr/>
            </w:pPr>
            <w:r>
              <w:rPr/>
              <w:t> </w:t>
            </w:r>
          </w:p>
        </w:tc>
      </w:tr>
      <w:tr>
        <w:trPr/>
        <w:tc>
          <w:tcPr>
            <w:tcW w:w="235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Beilman</w:t>
            </w:r>
          </w:p>
        </w:tc>
      </w:tr>
      <w:tr>
        <w:trPr/>
        <w:tc>
          <w:tcPr>
            <w:tcW w:w="23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3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7" w:name="dave-ex32_1.htm"/>
      <w:bookmarkStart w:id="28" w:name="ksdaveex32_1"/>
      <w:bookmarkEnd w:id="27"/>
      <w:bookmarkEnd w:id="28"/>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jc w:val="center"/>
        <w:rPr>
          <w:rFonts w:ascii="Times New Roman" w:hAnsi="Times New Roman"/>
          <w:sz w:val="20"/>
        </w:rPr>
      </w:pPr>
      <w:r>
        <w:rPr>
          <w:rFonts w:ascii="Times New Roman" w:hAnsi="Times New Roman"/>
          <w:b/>
          <w:color w:val="000000"/>
          <w:sz w:val="20"/>
        </w:rPr>
        <w:t>CERTIFICATIONS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undersigned, Jason Wilk, Chief Executive Officer, and Kyle Beilman, Chief Financial Officer of Dave Inc. (the “Company”), hereby certify as of the date hereof, solely for the purposes of 18 U.S.C. §1350,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Quarterly Report on Form 10-Q for the period ended June 30, 2024 of the Company (the “Report”) fully complies with the requirements of Section 13(a) or 15(d), as applicable,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at the dates and for the periods indicated. </w:t>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Date: August 6, 2024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pPr>
            <w:r>
              <w:rPr/>
              <w:t> </w:t>
            </w:r>
          </w:p>
        </w:tc>
      </w:tr>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Wilk</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Beilman</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Section 1350 and is not being filed as part of the Report or as a separate disclosure document.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408/000119312522006854/d253532dex31.htm" TargetMode="External"/><Relationship Id="rId3" Type="http://schemas.openxmlformats.org/officeDocument/2006/relationships/hyperlink" Target="https://www.sec.gov/Archives/edgar/data/1841408/000119312522006854/d253532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34453</Words>
  <Characters>187340</Characters>
  <CharactersWithSpaces>223188</CharactersWithSpaces>
  <Paragraphs>7353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